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30DD60EF" w:rsidR="00C33E85" w:rsidRDefault="00A52105" w:rsidP="00073FC4">
      <w:pPr>
        <w:jc w:val="center"/>
        <w:rPr>
          <w:b/>
          <w:sz w:val="22"/>
          <w:szCs w:val="22"/>
        </w:rPr>
      </w:pPr>
      <w:bookmarkStart w:id="0" w:name="_Hlk82471863"/>
      <w:bookmarkStart w:id="1" w:name="_Hlk201041095"/>
      <w:r>
        <w:rPr>
          <w:b/>
          <w:sz w:val="22"/>
          <w:szCs w:val="22"/>
        </w:rPr>
        <w:t xml:space="preserve">ANEXO I - </w:t>
      </w:r>
      <w:r w:rsidR="00C33E85" w:rsidRPr="00557B55">
        <w:rPr>
          <w:b/>
          <w:sz w:val="22"/>
          <w:szCs w:val="22"/>
        </w:rPr>
        <w:t>TERMO DE REFERÊNCIA</w:t>
      </w:r>
    </w:p>
    <w:p w14:paraId="37DC729D" w14:textId="229E0E68" w:rsidR="00A52105" w:rsidRDefault="00A52105" w:rsidP="00073FC4">
      <w:pPr>
        <w:jc w:val="center"/>
        <w:rPr>
          <w:b/>
          <w:sz w:val="22"/>
          <w:szCs w:val="22"/>
        </w:rPr>
      </w:pPr>
    </w:p>
    <w:p w14:paraId="249B61E2" w14:textId="77777777" w:rsidR="00257B73" w:rsidRPr="00557B55" w:rsidRDefault="00257B73" w:rsidP="00073FC4">
      <w:pPr>
        <w:jc w:val="center"/>
        <w:rPr>
          <w:b/>
          <w:sz w:val="22"/>
          <w:szCs w:val="22"/>
        </w:rPr>
      </w:pPr>
    </w:p>
    <w:p w14:paraId="7E769EFC" w14:textId="77777777" w:rsidR="00257B73" w:rsidRPr="003B459F" w:rsidRDefault="00257B73" w:rsidP="00257B73">
      <w:pPr>
        <w:spacing w:line="360" w:lineRule="auto"/>
        <w:rPr>
          <w:b/>
          <w:sz w:val="22"/>
          <w:szCs w:val="22"/>
        </w:rPr>
      </w:pPr>
      <w:r w:rsidRPr="003B459F">
        <w:rPr>
          <w:b/>
          <w:sz w:val="22"/>
          <w:szCs w:val="22"/>
        </w:rPr>
        <w:t>PROCESSO LICITATÓRIO Nº 088/2025</w:t>
      </w:r>
    </w:p>
    <w:p w14:paraId="27BE137F" w14:textId="77777777" w:rsidR="00257B73" w:rsidRPr="003B459F" w:rsidRDefault="00257B73" w:rsidP="00257B73">
      <w:pPr>
        <w:spacing w:line="360" w:lineRule="auto"/>
        <w:rPr>
          <w:b/>
          <w:sz w:val="22"/>
          <w:szCs w:val="22"/>
        </w:rPr>
      </w:pPr>
      <w:r w:rsidRPr="003B459F">
        <w:rPr>
          <w:b/>
          <w:sz w:val="22"/>
          <w:szCs w:val="22"/>
        </w:rPr>
        <w:t>PREGÃO ELETRONICO Nº 025/2025</w:t>
      </w:r>
    </w:p>
    <w:p w14:paraId="1C6533DB" w14:textId="77777777" w:rsidR="009F2D68" w:rsidRPr="00557B55" w:rsidRDefault="009F2D68" w:rsidP="00557B55">
      <w:pPr>
        <w:tabs>
          <w:tab w:val="left" w:pos="0"/>
          <w:tab w:val="left" w:pos="142"/>
        </w:tabs>
        <w:spacing w:line="360" w:lineRule="auto"/>
        <w:jc w:val="both"/>
        <w:rPr>
          <w:b/>
          <w:sz w:val="22"/>
          <w:szCs w:val="22"/>
        </w:rPr>
      </w:pPr>
    </w:p>
    <w:p w14:paraId="56765139" w14:textId="77777777" w:rsidR="00361381" w:rsidRPr="00557B55" w:rsidRDefault="001A27B9" w:rsidP="00557B55">
      <w:pPr>
        <w:pStyle w:val="PargrafodaLista"/>
        <w:numPr>
          <w:ilvl w:val="0"/>
          <w:numId w:val="7"/>
        </w:numPr>
        <w:tabs>
          <w:tab w:val="left" w:pos="0"/>
        </w:tabs>
        <w:spacing w:line="360" w:lineRule="auto"/>
        <w:ind w:left="0" w:firstLine="0"/>
        <w:jc w:val="both"/>
        <w:rPr>
          <w:b/>
          <w:sz w:val="22"/>
          <w:szCs w:val="22"/>
        </w:rPr>
      </w:pPr>
      <w:r w:rsidRPr="00557B55">
        <w:rPr>
          <w:b/>
          <w:sz w:val="22"/>
          <w:szCs w:val="22"/>
        </w:rPr>
        <w:t xml:space="preserve">DAS CONDIÇÕES GERAIS DA CONTRATAÇÃO </w:t>
      </w:r>
    </w:p>
    <w:p w14:paraId="4B4238BC" w14:textId="24B60E75" w:rsidR="00ED4B11" w:rsidRDefault="00DE74D7" w:rsidP="00ED4B11">
      <w:pPr>
        <w:pStyle w:val="PargrafodaLista"/>
        <w:numPr>
          <w:ilvl w:val="1"/>
          <w:numId w:val="7"/>
        </w:numPr>
        <w:tabs>
          <w:tab w:val="left" w:pos="0"/>
          <w:tab w:val="left" w:pos="142"/>
        </w:tabs>
        <w:spacing w:line="360" w:lineRule="auto"/>
        <w:ind w:left="0" w:firstLine="0"/>
        <w:jc w:val="both"/>
        <w:rPr>
          <w:rFonts w:eastAsia="Calibri"/>
          <w:sz w:val="22"/>
          <w:szCs w:val="22"/>
        </w:rPr>
      </w:pPr>
      <w:r w:rsidRPr="00DE74D7">
        <w:rPr>
          <w:rFonts w:eastAsia="Calibri"/>
          <w:bCs/>
          <w:iCs/>
          <w:sz w:val="22"/>
          <w:szCs w:val="22"/>
          <w:lang w:val="pt-BR"/>
        </w:rPr>
        <w:t>Contratação de empresa especializada para prestação de serviços técnicos de captação de recursos financeiros junto às diversas Secretarias Estaduais, Federais e/ou Ministérios, bem como para a elaboração e acompanhamento das prestações de contas dos respectivos convênios, contratos de repasse, termos de fomento, termos de parceria e outros instrumentos congêneres a serem firmados pelo Município de Catuji/MG</w:t>
      </w:r>
      <w:r w:rsidR="00ED4B11" w:rsidRPr="007A50AA">
        <w:rPr>
          <w:rFonts w:eastAsia="Calibri"/>
          <w:sz w:val="22"/>
          <w:szCs w:val="22"/>
        </w:rPr>
        <w:t>.</w:t>
      </w:r>
    </w:p>
    <w:tbl>
      <w:tblPr>
        <w:tblStyle w:val="Tabelacomgrade4"/>
        <w:tblW w:w="5000" w:type="pct"/>
        <w:tblLook w:val="04A0" w:firstRow="1" w:lastRow="0" w:firstColumn="1" w:lastColumn="0" w:noHBand="0" w:noVBand="1"/>
      </w:tblPr>
      <w:tblGrid>
        <w:gridCol w:w="616"/>
        <w:gridCol w:w="4927"/>
        <w:gridCol w:w="1362"/>
        <w:gridCol w:w="1362"/>
        <w:gridCol w:w="1362"/>
      </w:tblGrid>
      <w:tr w:rsidR="00DE74D7" w:rsidRPr="00DE74D7" w14:paraId="33ED388E" w14:textId="0A361DA7" w:rsidTr="00DE74D7">
        <w:trPr>
          <w:trHeight w:val="20"/>
        </w:trPr>
        <w:tc>
          <w:tcPr>
            <w:tcW w:w="320" w:type="pct"/>
            <w:vAlign w:val="center"/>
          </w:tcPr>
          <w:p w14:paraId="2AC3D8D8" w14:textId="77777777" w:rsidR="00DE74D7" w:rsidRPr="00DE74D7" w:rsidRDefault="00DE74D7" w:rsidP="00DE74D7">
            <w:pPr>
              <w:spacing w:line="360" w:lineRule="auto"/>
              <w:jc w:val="center"/>
              <w:rPr>
                <w:rFonts w:ascii="Times New Roman" w:hAnsi="Times New Roman" w:cs="Times New Roman"/>
                <w:b/>
                <w:bCs/>
                <w:sz w:val="20"/>
                <w:szCs w:val="20"/>
              </w:rPr>
            </w:pPr>
            <w:bookmarkStart w:id="2" w:name="_Hlk215468353"/>
            <w:r w:rsidRPr="00DE74D7">
              <w:rPr>
                <w:rFonts w:ascii="Times New Roman" w:hAnsi="Times New Roman" w:cs="Times New Roman"/>
                <w:b/>
                <w:bCs/>
                <w:sz w:val="20"/>
                <w:szCs w:val="20"/>
              </w:rPr>
              <w:t>Item</w:t>
            </w:r>
          </w:p>
        </w:tc>
        <w:tc>
          <w:tcPr>
            <w:tcW w:w="2559" w:type="pct"/>
            <w:vAlign w:val="center"/>
          </w:tcPr>
          <w:p w14:paraId="3662A5BE" w14:textId="77777777" w:rsidR="00DE74D7" w:rsidRPr="00DE74D7" w:rsidRDefault="00DE74D7" w:rsidP="00DE74D7">
            <w:pPr>
              <w:spacing w:line="360" w:lineRule="auto"/>
              <w:jc w:val="center"/>
              <w:rPr>
                <w:rFonts w:ascii="Times New Roman" w:hAnsi="Times New Roman" w:cs="Times New Roman"/>
                <w:b/>
                <w:bCs/>
                <w:sz w:val="20"/>
                <w:szCs w:val="20"/>
              </w:rPr>
            </w:pPr>
            <w:r w:rsidRPr="00DE74D7">
              <w:rPr>
                <w:rFonts w:ascii="Times New Roman" w:hAnsi="Times New Roman" w:cs="Times New Roman"/>
                <w:b/>
                <w:bCs/>
                <w:sz w:val="20"/>
                <w:szCs w:val="20"/>
              </w:rPr>
              <w:t>Descrição Do Produto</w:t>
            </w:r>
          </w:p>
        </w:tc>
        <w:tc>
          <w:tcPr>
            <w:tcW w:w="707" w:type="pct"/>
            <w:vAlign w:val="center"/>
          </w:tcPr>
          <w:p w14:paraId="017D4A9C" w14:textId="45EC0531" w:rsidR="00DE74D7" w:rsidRPr="00DE74D7" w:rsidRDefault="00DE74D7" w:rsidP="00DE74D7">
            <w:pPr>
              <w:spacing w:line="360" w:lineRule="auto"/>
              <w:jc w:val="center"/>
              <w:rPr>
                <w:rFonts w:ascii="Times New Roman" w:hAnsi="Times New Roman" w:cs="Times New Roman"/>
                <w:b/>
                <w:bCs/>
                <w:sz w:val="20"/>
                <w:szCs w:val="20"/>
              </w:rPr>
            </w:pPr>
            <w:r w:rsidRPr="00DE74D7">
              <w:rPr>
                <w:rFonts w:ascii="Times New Roman" w:hAnsi="Times New Roman" w:cs="Times New Roman"/>
                <w:b/>
                <w:bCs/>
                <w:sz w:val="20"/>
                <w:szCs w:val="20"/>
              </w:rPr>
              <w:t>Unidade</w:t>
            </w:r>
          </w:p>
        </w:tc>
        <w:tc>
          <w:tcPr>
            <w:tcW w:w="707" w:type="pct"/>
            <w:vAlign w:val="center"/>
          </w:tcPr>
          <w:p w14:paraId="3EA3FB51" w14:textId="0A8FF30F" w:rsidR="00DE74D7" w:rsidRPr="00DE74D7" w:rsidRDefault="00DE74D7" w:rsidP="00DE74D7">
            <w:pPr>
              <w:spacing w:line="360" w:lineRule="auto"/>
              <w:jc w:val="center"/>
              <w:rPr>
                <w:rFonts w:ascii="Times New Roman" w:hAnsi="Times New Roman" w:cs="Times New Roman"/>
                <w:b/>
                <w:bCs/>
                <w:sz w:val="20"/>
                <w:szCs w:val="20"/>
              </w:rPr>
            </w:pPr>
            <w:r w:rsidRPr="00DE74D7">
              <w:rPr>
                <w:rFonts w:ascii="Times New Roman" w:hAnsi="Times New Roman" w:cs="Times New Roman"/>
                <w:b/>
                <w:bCs/>
                <w:sz w:val="20"/>
                <w:szCs w:val="20"/>
              </w:rPr>
              <w:t>Quantidade</w:t>
            </w:r>
          </w:p>
        </w:tc>
        <w:tc>
          <w:tcPr>
            <w:tcW w:w="707" w:type="pct"/>
            <w:vAlign w:val="center"/>
          </w:tcPr>
          <w:p w14:paraId="591C428B" w14:textId="5EE302B7" w:rsidR="00DE74D7" w:rsidRPr="00DE74D7" w:rsidRDefault="00DE74D7" w:rsidP="00DE74D7">
            <w:pPr>
              <w:spacing w:line="360" w:lineRule="auto"/>
              <w:jc w:val="center"/>
              <w:rPr>
                <w:rFonts w:ascii="Times New Roman" w:hAnsi="Times New Roman" w:cs="Times New Roman"/>
                <w:b/>
                <w:bCs/>
                <w:sz w:val="20"/>
                <w:szCs w:val="20"/>
              </w:rPr>
            </w:pPr>
            <w:r w:rsidRPr="00DE74D7">
              <w:rPr>
                <w:rFonts w:ascii="Times New Roman" w:hAnsi="Times New Roman" w:cs="Times New Roman"/>
                <w:b/>
                <w:bCs/>
                <w:sz w:val="20"/>
                <w:szCs w:val="20"/>
              </w:rPr>
              <w:t>Valor Unitário médio ($)</w:t>
            </w:r>
          </w:p>
        </w:tc>
      </w:tr>
      <w:tr w:rsidR="00DE74D7" w:rsidRPr="00DE74D7" w14:paraId="0DEB57B3" w14:textId="2C31B526" w:rsidTr="00DE74D7">
        <w:trPr>
          <w:trHeight w:val="20"/>
        </w:trPr>
        <w:tc>
          <w:tcPr>
            <w:tcW w:w="320" w:type="pct"/>
            <w:vAlign w:val="center"/>
          </w:tcPr>
          <w:p w14:paraId="2E9F74A2" w14:textId="77777777" w:rsidR="00DE74D7" w:rsidRPr="00DE74D7" w:rsidRDefault="00DE74D7" w:rsidP="00DE74D7">
            <w:pPr>
              <w:spacing w:line="360" w:lineRule="auto"/>
              <w:jc w:val="center"/>
              <w:rPr>
                <w:rFonts w:ascii="Times New Roman" w:hAnsi="Times New Roman" w:cs="Times New Roman"/>
                <w:sz w:val="20"/>
                <w:szCs w:val="20"/>
              </w:rPr>
            </w:pPr>
            <w:r w:rsidRPr="00DE74D7">
              <w:rPr>
                <w:rFonts w:ascii="Times New Roman" w:hAnsi="Times New Roman" w:cs="Times New Roman"/>
                <w:sz w:val="20"/>
                <w:szCs w:val="20"/>
              </w:rPr>
              <w:t>01</w:t>
            </w:r>
          </w:p>
        </w:tc>
        <w:tc>
          <w:tcPr>
            <w:tcW w:w="2559" w:type="pct"/>
            <w:vAlign w:val="center"/>
          </w:tcPr>
          <w:p w14:paraId="364A248C"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Os serviços a serem prestados pela empresa contratada compreendem a inclusão, elaboração, acompanhamento e gestão técnica e operacional de todas as propostas, projetos e instrumentos de transferência de recursos de interesse do Município de Catuji/MG, junto aos órgãos e entidades da Administração Pública Federal e Estadual, abrangendo as seguintes atividades:</w:t>
            </w:r>
          </w:p>
          <w:p w14:paraId="5568E374"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Inclusão e acompanhamento de propostas e projetos;</w:t>
            </w:r>
          </w:p>
          <w:p w14:paraId="33EAB5C1"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 xml:space="preserve">Inclusão e acompanhamento de todas as propostas de interesse do Município de Catuji no Portal de Transferências da União – </w:t>
            </w:r>
            <w:proofErr w:type="spellStart"/>
            <w:r w:rsidRPr="00DE74D7">
              <w:rPr>
                <w:rFonts w:ascii="Times New Roman" w:hAnsi="Times New Roman" w:cs="Times New Roman"/>
                <w:sz w:val="20"/>
                <w:szCs w:val="20"/>
              </w:rPr>
              <w:t>TransfereGov</w:t>
            </w:r>
            <w:proofErr w:type="spellEnd"/>
            <w:r w:rsidRPr="00DE74D7">
              <w:rPr>
                <w:rFonts w:ascii="Times New Roman" w:hAnsi="Times New Roman" w:cs="Times New Roman"/>
                <w:sz w:val="20"/>
                <w:szCs w:val="20"/>
              </w:rPr>
              <w:t xml:space="preserve"> (antigo SICONV) e nos sistemas eletrônicos de propostas e projetos dos demais órgãos e entidades federais e estaduais;</w:t>
            </w:r>
          </w:p>
          <w:p w14:paraId="4E4B7412"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Elaboração e acompanhamento de Planos de Trabalho, projetos técnicos e instrumentos congêneres, visando à celebração de convênios, contratos de repasse, termos de compromisso, termos de cooperação, termos de responsabilidade, termos de adesão e outros instrumentos similares, conforme a legislação vigente.</w:t>
            </w:r>
          </w:p>
          <w:p w14:paraId="3FB0B0E7"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Procedimentos licitatórios e execução financeira:</w:t>
            </w:r>
          </w:p>
          <w:p w14:paraId="787F6A00"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 xml:space="preserve">Inclusão, no </w:t>
            </w:r>
            <w:proofErr w:type="spellStart"/>
            <w:r w:rsidRPr="00DE74D7">
              <w:rPr>
                <w:rFonts w:ascii="Times New Roman" w:hAnsi="Times New Roman" w:cs="Times New Roman"/>
                <w:sz w:val="20"/>
                <w:szCs w:val="20"/>
              </w:rPr>
              <w:t>TransfereGov</w:t>
            </w:r>
            <w:proofErr w:type="spellEnd"/>
            <w:r w:rsidRPr="00DE74D7">
              <w:rPr>
                <w:rFonts w:ascii="Times New Roman" w:hAnsi="Times New Roman" w:cs="Times New Roman"/>
                <w:sz w:val="20"/>
                <w:szCs w:val="20"/>
              </w:rPr>
              <w:t xml:space="preserve"> e, quando aplicável, no SICONV, das informações relativas aos procedimentos licitatórios decorrentes de contratações executadas com recursos provenientes de convênios e instrumentos correlatos;</w:t>
            </w:r>
          </w:p>
          <w:p w14:paraId="4B128B45"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lastRenderedPageBreak/>
              <w:t>Inclusão, nesses sistemas, das informações referentes aos pagamentos efetuados com recursos oriundos de convênios, contratos de repasse e instrumentos similares, conforme exigências legais.</w:t>
            </w:r>
          </w:p>
          <w:p w14:paraId="2175A6EB"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Prestação de contas e acompanhamento junto aos órgãos concedentes</w:t>
            </w:r>
          </w:p>
          <w:p w14:paraId="39913879"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 xml:space="preserve">Inclusão e acompanhamento, no </w:t>
            </w:r>
            <w:proofErr w:type="spellStart"/>
            <w:r w:rsidRPr="00DE74D7">
              <w:rPr>
                <w:rFonts w:ascii="Times New Roman" w:hAnsi="Times New Roman" w:cs="Times New Roman"/>
                <w:sz w:val="20"/>
                <w:szCs w:val="20"/>
              </w:rPr>
              <w:t>TransfereGov</w:t>
            </w:r>
            <w:proofErr w:type="spellEnd"/>
            <w:r w:rsidRPr="00DE74D7">
              <w:rPr>
                <w:rFonts w:ascii="Times New Roman" w:hAnsi="Times New Roman" w:cs="Times New Roman"/>
                <w:sz w:val="20"/>
                <w:szCs w:val="20"/>
              </w:rPr>
              <w:t>, SICONV e demais sistemas correlatos, de toda a documentação e informações necessárias à análise e aprovação das prestações de contas dos recursos recebidos;</w:t>
            </w:r>
          </w:p>
          <w:p w14:paraId="13304F27"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Elaboração e acompanhamento de prestações de contas referentes aos recursos oriundos dos Governos Federal e Estadual, abrangendo convênios, contratos de repasse, termos de cooperação, termos de compromisso, termos de responsabilidade, termos de adesão e demais instrumentos similares, observando rigorosamente a legislação vigente.</w:t>
            </w:r>
          </w:p>
          <w:p w14:paraId="3F5952CD"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Atuação junto a órgãos estaduais e federais</w:t>
            </w:r>
          </w:p>
          <w:p w14:paraId="60CA4ED3"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Elaboração e acompanhamento, junto aos órgãos e entidades da Administração Pública Estadual, especialmente aqueles com sede em Belo Horizonte/MG, de todos os projetos e planos de trabalho destinados à captação e transferência de recursos financeiros;</w:t>
            </w:r>
          </w:p>
          <w:p w14:paraId="4C3ED203"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Acompanhamento técnico e administrativo de todos os contratos de repasse firmados com a Caixa Econômica Federal, até a aprovação final e encerramento dos instrumentos.</w:t>
            </w:r>
          </w:p>
          <w:p w14:paraId="210BA35F"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Regularidade cadastral e suporte técnico ao Município;</w:t>
            </w:r>
          </w:p>
          <w:p w14:paraId="568724AA"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Acompanhamento sistemático do CAUC – Cadastro Único de Convênios, adotando as providências necessárias para regularização de pendências que possam comprometer a captação de novos recursos;</w:t>
            </w:r>
          </w:p>
          <w:p w14:paraId="19966D98"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Disponibilização de equipe multidisciplinar qualificada para orientação técnica aos servidores municipais e gestores públicos quanto à execução, acompanhamento e prestação de contas dos convênios e programas diversos de interesse do Município.</w:t>
            </w:r>
          </w:p>
          <w:p w14:paraId="3AF71FE9"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Gestão e operação de sistemas eletrônicos</w:t>
            </w:r>
          </w:p>
          <w:p w14:paraId="358FF042"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lastRenderedPageBreak/>
              <w:t>Inclusão, alimentação e acompanhamento das informações nos seguintes sistemas eletrônicos, conforme aplicável:</w:t>
            </w:r>
          </w:p>
          <w:p w14:paraId="6E00D9CF" w14:textId="77777777" w:rsidR="00DE74D7" w:rsidRPr="00DE74D7" w:rsidRDefault="00DE74D7" w:rsidP="003A52F4">
            <w:pPr>
              <w:spacing w:line="360" w:lineRule="auto"/>
              <w:jc w:val="both"/>
              <w:rPr>
                <w:rFonts w:ascii="Times New Roman" w:hAnsi="Times New Roman" w:cs="Times New Roman"/>
                <w:sz w:val="20"/>
                <w:szCs w:val="20"/>
              </w:rPr>
            </w:pPr>
            <w:proofErr w:type="spellStart"/>
            <w:r w:rsidRPr="00DE74D7">
              <w:rPr>
                <w:rFonts w:ascii="Times New Roman" w:hAnsi="Times New Roman" w:cs="Times New Roman"/>
                <w:sz w:val="20"/>
                <w:szCs w:val="20"/>
              </w:rPr>
              <w:t>TransfereGov</w:t>
            </w:r>
            <w:proofErr w:type="spellEnd"/>
            <w:r w:rsidRPr="00DE74D7">
              <w:rPr>
                <w:rFonts w:ascii="Times New Roman" w:hAnsi="Times New Roman" w:cs="Times New Roman"/>
                <w:sz w:val="20"/>
                <w:szCs w:val="20"/>
              </w:rPr>
              <w:t>, SISMOB, SIMEC, SICONV, SIGCON, SIGPC, SIGA, SIGEICON, FNS e SIGARP, ou outros que venham a substituí-los ou complementá-los.</w:t>
            </w:r>
          </w:p>
          <w:p w14:paraId="31B0BF21" w14:textId="77777777" w:rsidR="00DE74D7" w:rsidRPr="00DE74D7" w:rsidRDefault="00DE74D7" w:rsidP="003A52F4">
            <w:pPr>
              <w:spacing w:line="360" w:lineRule="auto"/>
              <w:jc w:val="both"/>
              <w:rPr>
                <w:rFonts w:ascii="Times New Roman" w:hAnsi="Times New Roman" w:cs="Times New Roman"/>
                <w:sz w:val="20"/>
                <w:szCs w:val="20"/>
              </w:rPr>
            </w:pPr>
            <w:r w:rsidRPr="00DE74D7">
              <w:rPr>
                <w:rFonts w:ascii="Times New Roman" w:hAnsi="Times New Roman" w:cs="Times New Roman"/>
                <w:sz w:val="20"/>
                <w:szCs w:val="20"/>
              </w:rPr>
              <w:t>Devendo ser prestado por 24 horas semanais, distribuídas no mínimo em 03 dias, presencialmente, com atendimentos virtuais nos demais dias da semana, nos horários de expediente.</w:t>
            </w:r>
          </w:p>
        </w:tc>
        <w:tc>
          <w:tcPr>
            <w:tcW w:w="707" w:type="pct"/>
            <w:vAlign w:val="center"/>
          </w:tcPr>
          <w:p w14:paraId="64A1223D" w14:textId="77777777" w:rsidR="00DE74D7" w:rsidRPr="00DE74D7" w:rsidRDefault="00DE74D7" w:rsidP="00DE74D7">
            <w:pPr>
              <w:spacing w:line="360" w:lineRule="auto"/>
              <w:jc w:val="center"/>
              <w:rPr>
                <w:rFonts w:ascii="Times New Roman" w:hAnsi="Times New Roman" w:cs="Times New Roman"/>
                <w:sz w:val="20"/>
                <w:szCs w:val="20"/>
              </w:rPr>
            </w:pPr>
            <w:r w:rsidRPr="00DE74D7">
              <w:rPr>
                <w:rFonts w:ascii="Times New Roman" w:hAnsi="Times New Roman" w:cs="Times New Roman"/>
                <w:sz w:val="20"/>
                <w:szCs w:val="20"/>
              </w:rPr>
              <w:lastRenderedPageBreak/>
              <w:t>Mês</w:t>
            </w:r>
          </w:p>
        </w:tc>
        <w:tc>
          <w:tcPr>
            <w:tcW w:w="707" w:type="pct"/>
            <w:vAlign w:val="center"/>
          </w:tcPr>
          <w:p w14:paraId="14AB626B" w14:textId="77777777" w:rsidR="00DE74D7" w:rsidRPr="00DE74D7" w:rsidRDefault="00DE74D7" w:rsidP="00DE74D7">
            <w:pPr>
              <w:spacing w:line="360" w:lineRule="auto"/>
              <w:jc w:val="center"/>
              <w:rPr>
                <w:rFonts w:ascii="Times New Roman" w:hAnsi="Times New Roman" w:cs="Times New Roman"/>
                <w:sz w:val="20"/>
                <w:szCs w:val="20"/>
              </w:rPr>
            </w:pPr>
            <w:r w:rsidRPr="00DE74D7">
              <w:rPr>
                <w:rFonts w:ascii="Times New Roman" w:hAnsi="Times New Roman" w:cs="Times New Roman"/>
                <w:sz w:val="20"/>
                <w:szCs w:val="20"/>
              </w:rPr>
              <w:t>12</w:t>
            </w:r>
          </w:p>
        </w:tc>
        <w:tc>
          <w:tcPr>
            <w:tcW w:w="707" w:type="pct"/>
            <w:vAlign w:val="center"/>
          </w:tcPr>
          <w:p w14:paraId="09FF46CE" w14:textId="10602E9F" w:rsidR="00DE74D7" w:rsidRPr="00DE74D7" w:rsidRDefault="00DE74D7" w:rsidP="00DE74D7">
            <w:pPr>
              <w:spacing w:line="360" w:lineRule="auto"/>
              <w:jc w:val="center"/>
              <w:rPr>
                <w:rFonts w:ascii="Times New Roman" w:hAnsi="Times New Roman" w:cs="Times New Roman"/>
                <w:sz w:val="20"/>
                <w:szCs w:val="20"/>
              </w:rPr>
            </w:pPr>
            <w:r w:rsidRPr="00DE74D7">
              <w:rPr>
                <w:rFonts w:ascii="Times New Roman" w:hAnsi="Times New Roman" w:cs="Times New Roman"/>
                <w:sz w:val="20"/>
                <w:szCs w:val="20"/>
              </w:rPr>
              <w:t>6.700,00</w:t>
            </w:r>
          </w:p>
        </w:tc>
      </w:tr>
    </w:tbl>
    <w:bookmarkEnd w:id="2"/>
    <w:p w14:paraId="283E7B9E" w14:textId="18789258" w:rsidR="00ED4B11" w:rsidRPr="007A50AA" w:rsidRDefault="00ED4B11" w:rsidP="00ED4B11">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 xml:space="preserve">Os </w:t>
      </w:r>
      <w:r>
        <w:rPr>
          <w:rFonts w:eastAsia="Calibri"/>
          <w:sz w:val="22"/>
          <w:szCs w:val="22"/>
          <w:lang w:val="pt-BR"/>
        </w:rPr>
        <w:t>serviços</w:t>
      </w:r>
      <w:r w:rsidRPr="007A50AA">
        <w:rPr>
          <w:rFonts w:eastAsia="Calibri"/>
          <w:sz w:val="22"/>
          <w:szCs w:val="22"/>
        </w:rPr>
        <w:t xml:space="preserve"> objeto desta contratação são caracterizados como comuns</w:t>
      </w:r>
      <w:r>
        <w:rPr>
          <w:rFonts w:eastAsia="Calibri"/>
          <w:sz w:val="22"/>
          <w:szCs w:val="22"/>
          <w:lang w:val="pt-BR"/>
        </w:rPr>
        <w:t>.</w:t>
      </w:r>
    </w:p>
    <w:p w14:paraId="0019362B" w14:textId="77777777" w:rsidR="00ED4B11" w:rsidRPr="009A2DAB" w:rsidRDefault="00ED4B11" w:rsidP="000C5CDD">
      <w:pPr>
        <w:pStyle w:val="PargrafodaLista"/>
        <w:numPr>
          <w:ilvl w:val="1"/>
          <w:numId w:val="7"/>
        </w:numPr>
        <w:tabs>
          <w:tab w:val="left" w:pos="0"/>
          <w:tab w:val="left" w:pos="142"/>
        </w:tabs>
        <w:spacing w:line="360" w:lineRule="auto"/>
        <w:ind w:left="0" w:firstLine="0"/>
        <w:jc w:val="both"/>
        <w:rPr>
          <w:rFonts w:eastAsia="Calibri"/>
          <w:sz w:val="22"/>
          <w:szCs w:val="22"/>
        </w:rPr>
      </w:pPr>
      <w:r w:rsidRPr="002C0711">
        <w:rPr>
          <w:rFonts w:eastAsia="Calibri"/>
          <w:sz w:val="22"/>
          <w:szCs w:val="22"/>
          <w:lang w:val="pt-BR"/>
        </w:rPr>
        <w:t>O presente contrato tem vigência de 12 (doze) meses iniciando na da data de assinatura do contrato, podendo ser prorrogado nos termos do art.106 da Lei 14.133/21</w:t>
      </w:r>
      <w:r w:rsidRPr="009A2DAB">
        <w:rPr>
          <w:rFonts w:eastAsia="Calibri"/>
          <w:sz w:val="22"/>
          <w:szCs w:val="22"/>
        </w:rPr>
        <w:t>.</w:t>
      </w:r>
    </w:p>
    <w:p w14:paraId="4991024B" w14:textId="4B962BF5" w:rsidR="005B7E20" w:rsidRPr="009C7108" w:rsidRDefault="001A27B9" w:rsidP="000C5CDD">
      <w:pPr>
        <w:pStyle w:val="PargrafodaLista"/>
        <w:numPr>
          <w:ilvl w:val="0"/>
          <w:numId w:val="7"/>
        </w:numPr>
        <w:tabs>
          <w:tab w:val="left" w:pos="0"/>
        </w:tabs>
        <w:spacing w:line="360" w:lineRule="auto"/>
        <w:ind w:left="0" w:firstLine="0"/>
        <w:jc w:val="both"/>
        <w:rPr>
          <w:rFonts w:eastAsia="Calibri"/>
          <w:b/>
          <w:sz w:val="22"/>
          <w:szCs w:val="22"/>
        </w:rPr>
      </w:pPr>
      <w:r w:rsidRPr="009C7108">
        <w:rPr>
          <w:b/>
          <w:sz w:val="22"/>
          <w:szCs w:val="22"/>
        </w:rPr>
        <w:t xml:space="preserve">FUNDAMENTAÇÃO E DESCRIÇÃO DA NECESSIDADE DA CONTRATAÇÃO </w:t>
      </w:r>
    </w:p>
    <w:p w14:paraId="189F9D44" w14:textId="68F46BEC" w:rsidR="007E0505" w:rsidRPr="00640526" w:rsidRDefault="00640526" w:rsidP="000C5CDD">
      <w:pPr>
        <w:pStyle w:val="PargrafodaLista"/>
        <w:numPr>
          <w:ilvl w:val="1"/>
          <w:numId w:val="28"/>
        </w:numPr>
        <w:spacing w:line="360" w:lineRule="auto"/>
        <w:ind w:left="0" w:firstLine="0"/>
        <w:jc w:val="both"/>
        <w:rPr>
          <w:b/>
          <w:sz w:val="22"/>
          <w:szCs w:val="22"/>
        </w:rPr>
      </w:pPr>
      <w:r w:rsidRPr="001F4904">
        <w:rPr>
          <w:rFonts w:eastAsia="Calibri"/>
          <w:sz w:val="22"/>
          <w:szCs w:val="22"/>
          <w:lang w:val="pt-BR"/>
        </w:rPr>
        <w:t>O objeto da contratação não está previsto no Plano Anual de Contratações no Plano de Contratações Anual 202</w:t>
      </w:r>
      <w:r w:rsidR="00DE74D7">
        <w:rPr>
          <w:rFonts w:eastAsia="Calibri"/>
          <w:sz w:val="22"/>
          <w:szCs w:val="22"/>
          <w:lang w:val="pt-BR"/>
        </w:rPr>
        <w:t>5</w:t>
      </w:r>
      <w:r w:rsidRPr="001F4904">
        <w:rPr>
          <w:rFonts w:eastAsia="Calibri"/>
          <w:sz w:val="22"/>
          <w:szCs w:val="22"/>
          <w:lang w:val="pt-BR"/>
        </w:rPr>
        <w:t>, conforme consta das informações básicas deste termo de referência</w:t>
      </w:r>
      <w:r w:rsidRPr="001F4904">
        <w:rPr>
          <w:rFonts w:eastAsia="Calibri"/>
          <w:sz w:val="22"/>
          <w:szCs w:val="22"/>
        </w:rPr>
        <w:t>.</w:t>
      </w:r>
    </w:p>
    <w:p w14:paraId="4811446F" w14:textId="77777777" w:rsidR="001D1A3E" w:rsidRPr="00557B55" w:rsidRDefault="001A27B9" w:rsidP="000C5CDD">
      <w:pPr>
        <w:pStyle w:val="PargrafodaLista"/>
        <w:numPr>
          <w:ilvl w:val="0"/>
          <w:numId w:val="7"/>
        </w:numPr>
        <w:tabs>
          <w:tab w:val="left" w:pos="0"/>
        </w:tabs>
        <w:spacing w:line="360" w:lineRule="auto"/>
        <w:ind w:left="0" w:firstLine="0"/>
        <w:jc w:val="both"/>
        <w:rPr>
          <w:rFonts w:eastAsia="Calibri"/>
          <w:b/>
          <w:sz w:val="22"/>
          <w:szCs w:val="22"/>
        </w:rPr>
      </w:pPr>
      <w:r w:rsidRPr="00557B55">
        <w:rPr>
          <w:b/>
          <w:sz w:val="22"/>
          <w:szCs w:val="22"/>
        </w:rPr>
        <w:t xml:space="preserve">DESCRIÇÃO DA SOLUÇÃO COMO UM TODO CONSIDERADO O CICLO DE VIDA </w:t>
      </w:r>
      <w:r w:rsidR="00FD224C" w:rsidRPr="00557B55">
        <w:rPr>
          <w:b/>
          <w:sz w:val="22"/>
          <w:szCs w:val="22"/>
        </w:rPr>
        <w:t>DO OBJETO</w:t>
      </w:r>
      <w:r w:rsidRPr="00557B55">
        <w:rPr>
          <w:b/>
          <w:sz w:val="22"/>
          <w:szCs w:val="22"/>
        </w:rPr>
        <w:t xml:space="preserve"> </w:t>
      </w:r>
    </w:p>
    <w:p w14:paraId="3301D795" w14:textId="77777777" w:rsidR="00640526" w:rsidRPr="001F4904" w:rsidRDefault="00640526" w:rsidP="000C5CDD">
      <w:pPr>
        <w:pStyle w:val="PargrafodaLista"/>
        <w:numPr>
          <w:ilvl w:val="1"/>
          <w:numId w:val="28"/>
        </w:numPr>
        <w:spacing w:line="360" w:lineRule="auto"/>
        <w:ind w:left="0" w:firstLine="0"/>
        <w:jc w:val="both"/>
        <w:rPr>
          <w:sz w:val="22"/>
          <w:szCs w:val="22"/>
        </w:rPr>
      </w:pPr>
      <w:r w:rsidRPr="001F4904">
        <w:rPr>
          <w:rFonts w:eastAsia="Calibri"/>
          <w:sz w:val="22"/>
          <w:szCs w:val="22"/>
          <w:lang w:val="pt-BR"/>
        </w:rPr>
        <w:t>A descrição da solução como um todo encontra-se pormenorizada em tópico específico dos Estudos Técnicos Preliminares, apêndice deste Termo de Referência</w:t>
      </w:r>
      <w:r w:rsidRPr="001F4904">
        <w:rPr>
          <w:rFonts w:eastAsia="Calibri"/>
          <w:sz w:val="22"/>
          <w:szCs w:val="22"/>
        </w:rPr>
        <w:t>.</w:t>
      </w:r>
    </w:p>
    <w:p w14:paraId="0DF3721D" w14:textId="671935F8" w:rsidR="00963FBB" w:rsidRPr="004B31E1" w:rsidRDefault="00963FBB" w:rsidP="000C5CDD">
      <w:pPr>
        <w:pStyle w:val="PargrafodaLista"/>
        <w:numPr>
          <w:ilvl w:val="0"/>
          <w:numId w:val="7"/>
        </w:numPr>
        <w:tabs>
          <w:tab w:val="left" w:pos="0"/>
        </w:tabs>
        <w:spacing w:line="360" w:lineRule="auto"/>
        <w:ind w:left="0" w:firstLine="0"/>
        <w:jc w:val="both"/>
        <w:rPr>
          <w:b/>
          <w:sz w:val="22"/>
          <w:szCs w:val="22"/>
        </w:rPr>
      </w:pPr>
      <w:r w:rsidRPr="004B31E1">
        <w:rPr>
          <w:b/>
          <w:sz w:val="22"/>
          <w:szCs w:val="22"/>
        </w:rPr>
        <w:t xml:space="preserve">REQUISITOS DA CONTRATAÇÃO </w:t>
      </w:r>
    </w:p>
    <w:p w14:paraId="7D8F24F6" w14:textId="61CE8BAA" w:rsidR="00640526" w:rsidRPr="00A2093C" w:rsidRDefault="00640526" w:rsidP="000C5CDD">
      <w:pPr>
        <w:pStyle w:val="PargrafodaLista"/>
        <w:numPr>
          <w:ilvl w:val="1"/>
          <w:numId w:val="7"/>
        </w:numPr>
        <w:spacing w:line="360" w:lineRule="auto"/>
        <w:ind w:left="0" w:firstLine="0"/>
        <w:jc w:val="both"/>
        <w:rPr>
          <w:bCs/>
          <w:sz w:val="22"/>
          <w:szCs w:val="22"/>
        </w:rPr>
      </w:pPr>
      <w:r w:rsidRPr="00A2093C">
        <w:rPr>
          <w:bCs/>
          <w:sz w:val="22"/>
          <w:szCs w:val="22"/>
        </w:rPr>
        <w:t>Não será admitida a subcontratação do objeto contratual.</w:t>
      </w:r>
    </w:p>
    <w:p w14:paraId="5FA2F262" w14:textId="77777777" w:rsidR="00640526" w:rsidRPr="00A2093C" w:rsidRDefault="00640526" w:rsidP="000C5CDD">
      <w:pPr>
        <w:pStyle w:val="PargrafodaLista"/>
        <w:numPr>
          <w:ilvl w:val="1"/>
          <w:numId w:val="7"/>
        </w:numPr>
        <w:spacing w:line="360" w:lineRule="auto"/>
        <w:ind w:left="0" w:firstLine="0"/>
        <w:jc w:val="both"/>
        <w:rPr>
          <w:bCs/>
          <w:sz w:val="22"/>
          <w:szCs w:val="22"/>
        </w:rPr>
      </w:pPr>
      <w:r w:rsidRPr="00A2093C">
        <w:rPr>
          <w:bCs/>
          <w:sz w:val="22"/>
          <w:szCs w:val="22"/>
        </w:rPr>
        <w:t xml:space="preserve">Não haverá exigência da garantia da contratação dos </w:t>
      </w:r>
      <w:proofErr w:type="spellStart"/>
      <w:r w:rsidRPr="00A2093C">
        <w:rPr>
          <w:bCs/>
          <w:sz w:val="22"/>
          <w:szCs w:val="22"/>
        </w:rPr>
        <w:t>arts</w:t>
      </w:r>
      <w:proofErr w:type="spellEnd"/>
      <w:r w:rsidRPr="00A2093C">
        <w:rPr>
          <w:bCs/>
          <w:sz w:val="22"/>
          <w:szCs w:val="22"/>
        </w:rPr>
        <w:t>. 96 e seguintes da Lei nº 14.133/21</w:t>
      </w:r>
    </w:p>
    <w:p w14:paraId="5654D272" w14:textId="77777777" w:rsidR="00640526" w:rsidRPr="00A2093C" w:rsidRDefault="00640526" w:rsidP="000C5CDD">
      <w:pPr>
        <w:pStyle w:val="PargrafodaLista"/>
        <w:numPr>
          <w:ilvl w:val="1"/>
          <w:numId w:val="7"/>
        </w:numPr>
        <w:spacing w:line="360" w:lineRule="auto"/>
        <w:ind w:left="0" w:firstLine="0"/>
        <w:rPr>
          <w:rFonts w:eastAsia="Calibri"/>
          <w:sz w:val="22"/>
          <w:szCs w:val="22"/>
        </w:rPr>
      </w:pPr>
      <w:bookmarkStart w:id="3" w:name="_Hlk206059784"/>
      <w:r w:rsidRPr="00A2093C">
        <w:rPr>
          <w:rFonts w:eastAsia="Calibri"/>
          <w:sz w:val="22"/>
          <w:szCs w:val="22"/>
        </w:rPr>
        <w:t>Não há necessidade de realização de avaliação prévia do local de execução dos serviços.</w:t>
      </w:r>
    </w:p>
    <w:bookmarkEnd w:id="3"/>
    <w:p w14:paraId="1BDF3C2A" w14:textId="13CBF19C" w:rsidR="00D61F7E" w:rsidRPr="00557B55" w:rsidRDefault="00AC0437" w:rsidP="000C5CDD">
      <w:pPr>
        <w:pStyle w:val="PargrafodaLista"/>
        <w:numPr>
          <w:ilvl w:val="0"/>
          <w:numId w:val="7"/>
        </w:numPr>
        <w:tabs>
          <w:tab w:val="left" w:pos="0"/>
        </w:tabs>
        <w:spacing w:line="360" w:lineRule="auto"/>
        <w:ind w:left="0" w:firstLine="0"/>
        <w:jc w:val="both"/>
        <w:rPr>
          <w:rFonts w:eastAsia="Calibri"/>
          <w:sz w:val="22"/>
          <w:szCs w:val="22"/>
        </w:rPr>
      </w:pPr>
      <w:r w:rsidRPr="00557B55">
        <w:rPr>
          <w:b/>
          <w:sz w:val="22"/>
          <w:szCs w:val="22"/>
        </w:rPr>
        <w:t>DA</w:t>
      </w:r>
      <w:r w:rsidR="001A27B9" w:rsidRPr="00557B55">
        <w:rPr>
          <w:b/>
          <w:sz w:val="22"/>
          <w:szCs w:val="22"/>
        </w:rPr>
        <w:t xml:space="preserve"> </w:t>
      </w:r>
      <w:r w:rsidR="00E2708F" w:rsidRPr="00557B55">
        <w:rPr>
          <w:b/>
          <w:sz w:val="22"/>
          <w:szCs w:val="22"/>
        </w:rPr>
        <w:t>EXECUÇÃO DO OBJETO</w:t>
      </w:r>
    </w:p>
    <w:p w14:paraId="53A7DA20" w14:textId="0FAF16A7" w:rsidR="0005105C" w:rsidRPr="0005105C" w:rsidRDefault="0005105C" w:rsidP="000C5CDD">
      <w:pPr>
        <w:pStyle w:val="PargrafodaLista"/>
        <w:numPr>
          <w:ilvl w:val="1"/>
          <w:numId w:val="7"/>
        </w:numPr>
        <w:autoSpaceDE w:val="0"/>
        <w:autoSpaceDN w:val="0"/>
        <w:adjustRightInd w:val="0"/>
        <w:spacing w:line="360" w:lineRule="auto"/>
        <w:ind w:left="0" w:firstLine="0"/>
        <w:jc w:val="both"/>
        <w:rPr>
          <w:iCs/>
          <w:sz w:val="22"/>
          <w:szCs w:val="22"/>
        </w:rPr>
      </w:pPr>
      <w:r w:rsidRPr="0005105C">
        <w:rPr>
          <w:iCs/>
          <w:sz w:val="22"/>
          <w:szCs w:val="22"/>
        </w:rPr>
        <w:t xml:space="preserve"> A execução do objeto seguirá a seguinte dinâmica:</w:t>
      </w:r>
    </w:p>
    <w:p w14:paraId="6967E9AB" w14:textId="4B04B140"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t>O início da execução dos serviços ocorrerá em até 05 (cinco) dias úteis após a assinatura do contrato ou da emissão da ordem de serviço, o que ocorrer por último.</w:t>
      </w:r>
    </w:p>
    <w:p w14:paraId="527C427A" w14:textId="40AB05CD" w:rsidR="0005105C" w:rsidRPr="0005105C" w:rsidRDefault="0005105C" w:rsidP="000C5CDD">
      <w:pPr>
        <w:pStyle w:val="PargrafodaLista"/>
        <w:numPr>
          <w:ilvl w:val="1"/>
          <w:numId w:val="7"/>
        </w:numPr>
        <w:autoSpaceDE w:val="0"/>
        <w:autoSpaceDN w:val="0"/>
        <w:adjustRightInd w:val="0"/>
        <w:spacing w:line="360" w:lineRule="auto"/>
        <w:ind w:left="0" w:firstLine="0"/>
        <w:jc w:val="both"/>
        <w:rPr>
          <w:iCs/>
          <w:sz w:val="22"/>
          <w:szCs w:val="22"/>
        </w:rPr>
      </w:pPr>
      <w:r w:rsidRPr="0005105C">
        <w:rPr>
          <w:iCs/>
          <w:sz w:val="22"/>
          <w:szCs w:val="22"/>
        </w:rPr>
        <w:t>Os serviços serão executados de forma contínua, envolvendo:</w:t>
      </w:r>
    </w:p>
    <w:p w14:paraId="040F17BE" w14:textId="7C0A4E41"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t>Inclusão e acompanhamento de propostas e projetos nos sistemas oficiais (</w:t>
      </w:r>
      <w:proofErr w:type="spellStart"/>
      <w:r w:rsidRPr="0005105C">
        <w:rPr>
          <w:iCs/>
          <w:sz w:val="22"/>
          <w:szCs w:val="22"/>
        </w:rPr>
        <w:t>TransfereGov</w:t>
      </w:r>
      <w:proofErr w:type="spellEnd"/>
      <w:r w:rsidRPr="0005105C">
        <w:rPr>
          <w:iCs/>
          <w:sz w:val="22"/>
          <w:szCs w:val="22"/>
        </w:rPr>
        <w:t>, SIMEC, SISMOB, SIGCON, SIGPC, SIGA, SIGEICON, FNS e outros);</w:t>
      </w:r>
    </w:p>
    <w:p w14:paraId="520E8A32" w14:textId="32690A13"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t>Elaboração de planos de trabalho, projetos técnicos, termos de responsabilidade, convênios, contratos de repasse e instrumentos congêneres;</w:t>
      </w:r>
    </w:p>
    <w:p w14:paraId="12D88685" w14:textId="02B45B7D"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t>Inclusão, atualização e acompanhamento de informações de licitações e execução financeira relacionadas aos instrumentos firmados;</w:t>
      </w:r>
    </w:p>
    <w:p w14:paraId="17AD5471" w14:textId="5C26830E"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lastRenderedPageBreak/>
        <w:t>Elaboração, organização e acompanhamento das prestações de contas, inclusive resposta a diligências dos órgãos concedentes;</w:t>
      </w:r>
    </w:p>
    <w:p w14:paraId="6F8D2866" w14:textId="4C7E9637"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t>Monitoramento da regularidade do Município no CAUC e adoção de providências para sua regularização;</w:t>
      </w:r>
    </w:p>
    <w:p w14:paraId="1553B77C" w14:textId="2F559C90"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t>Acompanhamento técnico junto aos órgãos estaduais e federais, inclusive órgãos sediados em Belo Horizonte/MG;</w:t>
      </w:r>
    </w:p>
    <w:p w14:paraId="47B2CF36" w14:textId="02641F53"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t>Suporte técnico à administração municipal, com orientações, reuniões, emissão de relatórios e comunicação contínua;</w:t>
      </w:r>
    </w:p>
    <w:p w14:paraId="31C4292E" w14:textId="561272EA"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t>Alimentação e atualização periódica dos sistemas eletrônicos de gestão dos convênios.</w:t>
      </w:r>
    </w:p>
    <w:p w14:paraId="575E9CD9" w14:textId="194B4B48" w:rsidR="0005105C" w:rsidRPr="0005105C" w:rsidRDefault="0005105C" w:rsidP="000C5CDD">
      <w:pPr>
        <w:pStyle w:val="PargrafodaLista"/>
        <w:numPr>
          <w:ilvl w:val="1"/>
          <w:numId w:val="7"/>
        </w:numPr>
        <w:autoSpaceDE w:val="0"/>
        <w:autoSpaceDN w:val="0"/>
        <w:adjustRightInd w:val="0"/>
        <w:spacing w:line="360" w:lineRule="auto"/>
        <w:ind w:left="0" w:firstLine="0"/>
        <w:jc w:val="both"/>
        <w:rPr>
          <w:iCs/>
          <w:sz w:val="22"/>
          <w:szCs w:val="22"/>
        </w:rPr>
      </w:pPr>
      <w:r w:rsidRPr="0005105C">
        <w:rPr>
          <w:iCs/>
          <w:sz w:val="22"/>
          <w:szCs w:val="22"/>
        </w:rPr>
        <w:t>Cronograma de realização dos serviços</w:t>
      </w:r>
      <w:r>
        <w:rPr>
          <w:iCs/>
          <w:sz w:val="22"/>
          <w:szCs w:val="22"/>
          <w:lang w:val="pt-BR"/>
        </w:rPr>
        <w:t>:</w:t>
      </w:r>
    </w:p>
    <w:p w14:paraId="63B416A8" w14:textId="77777777"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t>Os serviços terão caráter contínuo, com execução durante todo o período contratual, observando-se:</w:t>
      </w:r>
    </w:p>
    <w:p w14:paraId="582F9277" w14:textId="77777777" w:rsidR="0005105C" w:rsidRDefault="0005105C" w:rsidP="000C5CDD">
      <w:pPr>
        <w:pStyle w:val="PargrafodaLista"/>
        <w:numPr>
          <w:ilvl w:val="3"/>
          <w:numId w:val="7"/>
        </w:numPr>
        <w:autoSpaceDE w:val="0"/>
        <w:autoSpaceDN w:val="0"/>
        <w:adjustRightInd w:val="0"/>
        <w:spacing w:line="360" w:lineRule="auto"/>
        <w:ind w:left="0" w:firstLine="0"/>
        <w:jc w:val="both"/>
        <w:rPr>
          <w:iCs/>
          <w:sz w:val="22"/>
          <w:szCs w:val="22"/>
        </w:rPr>
      </w:pPr>
      <w:r w:rsidRPr="0005105C">
        <w:rPr>
          <w:iCs/>
          <w:sz w:val="22"/>
          <w:szCs w:val="22"/>
        </w:rPr>
        <w:t>Atividades mensais: inclusão de dados, alimentação de sistemas, prestações de contas, planos de trabalho em andamento e acompanhamento do CAUC;</w:t>
      </w:r>
    </w:p>
    <w:p w14:paraId="5C4CBD00" w14:textId="77777777" w:rsidR="0005105C" w:rsidRDefault="0005105C" w:rsidP="000C5CDD">
      <w:pPr>
        <w:pStyle w:val="PargrafodaLista"/>
        <w:numPr>
          <w:ilvl w:val="3"/>
          <w:numId w:val="7"/>
        </w:numPr>
        <w:autoSpaceDE w:val="0"/>
        <w:autoSpaceDN w:val="0"/>
        <w:adjustRightInd w:val="0"/>
        <w:spacing w:line="360" w:lineRule="auto"/>
        <w:ind w:left="0" w:firstLine="0"/>
        <w:jc w:val="both"/>
        <w:rPr>
          <w:iCs/>
          <w:sz w:val="22"/>
          <w:szCs w:val="22"/>
        </w:rPr>
      </w:pPr>
      <w:r w:rsidRPr="0005105C">
        <w:rPr>
          <w:iCs/>
          <w:sz w:val="22"/>
          <w:szCs w:val="22"/>
        </w:rPr>
        <w:t>Atividades por demanda: elaboração de novos projetos, resposta a diligências, deslocamentos a órgãos estaduais/federais, reuniões e treinamentos;</w:t>
      </w:r>
    </w:p>
    <w:p w14:paraId="5C7DF167" w14:textId="17D833ED" w:rsidR="0005105C" w:rsidRPr="0005105C" w:rsidRDefault="0005105C" w:rsidP="000C5CDD">
      <w:pPr>
        <w:pStyle w:val="PargrafodaLista"/>
        <w:numPr>
          <w:ilvl w:val="3"/>
          <w:numId w:val="7"/>
        </w:numPr>
        <w:autoSpaceDE w:val="0"/>
        <w:autoSpaceDN w:val="0"/>
        <w:adjustRightInd w:val="0"/>
        <w:spacing w:line="360" w:lineRule="auto"/>
        <w:ind w:left="0" w:firstLine="0"/>
        <w:jc w:val="both"/>
        <w:rPr>
          <w:iCs/>
          <w:sz w:val="22"/>
          <w:szCs w:val="22"/>
        </w:rPr>
      </w:pPr>
      <w:r w:rsidRPr="0005105C">
        <w:rPr>
          <w:iCs/>
          <w:sz w:val="22"/>
          <w:szCs w:val="22"/>
        </w:rPr>
        <w:t>Atividades eventuais: apoio em auditorias, revisões de instrumentos, complementações e adequações solicitadas pelos concedentes.</w:t>
      </w:r>
    </w:p>
    <w:p w14:paraId="0FB1F746" w14:textId="7DE6D8DB" w:rsidR="0005105C" w:rsidRPr="0005105C" w:rsidRDefault="0005105C" w:rsidP="000C5CDD">
      <w:pPr>
        <w:pStyle w:val="PargrafodaLista"/>
        <w:numPr>
          <w:ilvl w:val="1"/>
          <w:numId w:val="7"/>
        </w:numPr>
        <w:autoSpaceDE w:val="0"/>
        <w:autoSpaceDN w:val="0"/>
        <w:adjustRightInd w:val="0"/>
        <w:spacing w:line="360" w:lineRule="auto"/>
        <w:ind w:left="0" w:firstLine="0"/>
        <w:jc w:val="both"/>
        <w:rPr>
          <w:iCs/>
          <w:sz w:val="22"/>
          <w:szCs w:val="22"/>
        </w:rPr>
      </w:pPr>
      <w:r w:rsidRPr="0005105C">
        <w:rPr>
          <w:iCs/>
          <w:sz w:val="22"/>
          <w:szCs w:val="22"/>
        </w:rPr>
        <w:t>Etapas de execução</w:t>
      </w:r>
    </w:p>
    <w:p w14:paraId="3967EBC2" w14:textId="77777777"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t>Etapa 1 – Diagnóstico inicial: levantamento dos projetos, convênios e pendências existentes (primeiros 30 dias).</w:t>
      </w:r>
    </w:p>
    <w:p w14:paraId="62CC3536" w14:textId="77777777"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t>Etapa 2 – Execução contínua: acompanhamento operacional, elaboração de projetos e alimentação dos sistemas (durante toda a vigência).</w:t>
      </w:r>
    </w:p>
    <w:p w14:paraId="4F223A40" w14:textId="77777777"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t>Etapa 3 – Prestação de contas: análise, organização e envio das prestações de contas, conforme a conclusão dos instrumentos.</w:t>
      </w:r>
    </w:p>
    <w:p w14:paraId="6F2176B9" w14:textId="77777777"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t>Etapa 4 – Suporte técnico e reuniões: atendimento à administração, emissão de relatórios e reuniões periódicas.</w:t>
      </w:r>
    </w:p>
    <w:p w14:paraId="02B3350D" w14:textId="72322BE5" w:rsidR="0005105C" w:rsidRPr="0005105C" w:rsidRDefault="0005105C" w:rsidP="000C5CDD">
      <w:pPr>
        <w:pStyle w:val="PargrafodaLista"/>
        <w:numPr>
          <w:ilvl w:val="1"/>
          <w:numId w:val="7"/>
        </w:numPr>
        <w:autoSpaceDE w:val="0"/>
        <w:autoSpaceDN w:val="0"/>
        <w:adjustRightInd w:val="0"/>
        <w:spacing w:line="360" w:lineRule="auto"/>
        <w:ind w:left="0" w:firstLine="0"/>
        <w:jc w:val="both"/>
        <w:rPr>
          <w:iCs/>
          <w:sz w:val="22"/>
          <w:szCs w:val="22"/>
        </w:rPr>
      </w:pPr>
      <w:r w:rsidRPr="0005105C">
        <w:rPr>
          <w:iCs/>
          <w:sz w:val="22"/>
          <w:szCs w:val="22"/>
        </w:rPr>
        <w:t>Local e horário da prestação dos serviços</w:t>
      </w:r>
    </w:p>
    <w:p w14:paraId="3006F18A" w14:textId="45927FA3"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t>Os serviços serão prestados, podendo ocorrer:</w:t>
      </w:r>
    </w:p>
    <w:p w14:paraId="608FD6B8" w14:textId="77777777" w:rsidR="000C5CDD" w:rsidRDefault="000C5CDD" w:rsidP="000C5CDD">
      <w:pPr>
        <w:pStyle w:val="PargrafodaLista"/>
        <w:numPr>
          <w:ilvl w:val="3"/>
          <w:numId w:val="7"/>
        </w:numPr>
        <w:autoSpaceDE w:val="0"/>
        <w:autoSpaceDN w:val="0"/>
        <w:adjustRightInd w:val="0"/>
        <w:spacing w:line="360" w:lineRule="auto"/>
        <w:ind w:left="0" w:firstLine="0"/>
        <w:jc w:val="both"/>
        <w:rPr>
          <w:iCs/>
          <w:sz w:val="22"/>
          <w:szCs w:val="22"/>
        </w:rPr>
      </w:pPr>
      <w:r w:rsidRPr="000C5CDD">
        <w:rPr>
          <w:iCs/>
          <w:sz w:val="22"/>
          <w:szCs w:val="22"/>
        </w:rPr>
        <w:t>Os serviços serão prestados presencialmente na Prefeitura Municipal de Catuji/MG, pelo período de 24 (vinte e quatro) horas semanais, distribuídas no mínimo em 03 (três) dias presenciais, conforme escala definida pela Administração.</w:t>
      </w:r>
    </w:p>
    <w:p w14:paraId="5D2FDA39" w14:textId="661F3B52" w:rsidR="0005105C" w:rsidRPr="000C5CDD" w:rsidRDefault="000C5CDD" w:rsidP="000C5CDD">
      <w:pPr>
        <w:pStyle w:val="PargrafodaLista"/>
        <w:numPr>
          <w:ilvl w:val="3"/>
          <w:numId w:val="7"/>
        </w:numPr>
        <w:autoSpaceDE w:val="0"/>
        <w:autoSpaceDN w:val="0"/>
        <w:adjustRightInd w:val="0"/>
        <w:spacing w:line="360" w:lineRule="auto"/>
        <w:ind w:left="0" w:firstLine="0"/>
        <w:jc w:val="both"/>
        <w:rPr>
          <w:iCs/>
          <w:sz w:val="22"/>
          <w:szCs w:val="22"/>
        </w:rPr>
      </w:pPr>
      <w:r w:rsidRPr="000C5CDD">
        <w:rPr>
          <w:iCs/>
          <w:sz w:val="22"/>
          <w:szCs w:val="22"/>
        </w:rPr>
        <w:t>Nos demais dias da semana, a contratada deverá realizar atendimentos virtuais, por meio de telefone, e-mail, videoconferência ou outros meios de comunicação disponibilizados, sempre dentro do horário de expediente da Prefeitura, de segunda a sexta-feira, das 0</w:t>
      </w:r>
      <w:r>
        <w:rPr>
          <w:iCs/>
          <w:sz w:val="22"/>
          <w:szCs w:val="22"/>
          <w:lang w:val="pt-BR"/>
        </w:rPr>
        <w:t>7</w:t>
      </w:r>
      <w:r w:rsidRPr="000C5CDD">
        <w:rPr>
          <w:iCs/>
          <w:sz w:val="22"/>
          <w:szCs w:val="22"/>
        </w:rPr>
        <w:t>h às 1</w:t>
      </w:r>
      <w:r>
        <w:rPr>
          <w:iCs/>
          <w:sz w:val="22"/>
          <w:szCs w:val="22"/>
          <w:lang w:val="pt-BR"/>
        </w:rPr>
        <w:t>6</w:t>
      </w:r>
      <w:r w:rsidRPr="000C5CDD">
        <w:rPr>
          <w:iCs/>
          <w:sz w:val="22"/>
          <w:szCs w:val="22"/>
        </w:rPr>
        <w:t>h.</w:t>
      </w:r>
    </w:p>
    <w:p w14:paraId="53E42349" w14:textId="57B00CCB" w:rsidR="009D656B" w:rsidRPr="0012605F" w:rsidRDefault="00AC0437" w:rsidP="000C5CDD">
      <w:pPr>
        <w:pStyle w:val="PargrafodaLista"/>
        <w:numPr>
          <w:ilvl w:val="0"/>
          <w:numId w:val="7"/>
        </w:numPr>
        <w:tabs>
          <w:tab w:val="left" w:pos="0"/>
        </w:tabs>
        <w:spacing w:line="360" w:lineRule="auto"/>
        <w:ind w:left="0" w:firstLine="0"/>
        <w:jc w:val="both"/>
        <w:rPr>
          <w:iCs/>
          <w:sz w:val="22"/>
          <w:szCs w:val="22"/>
        </w:rPr>
      </w:pPr>
      <w:r w:rsidRPr="0012605F">
        <w:rPr>
          <w:b/>
          <w:sz w:val="22"/>
          <w:szCs w:val="22"/>
        </w:rPr>
        <w:t xml:space="preserve">DA </w:t>
      </w:r>
      <w:r w:rsidR="001A27B9" w:rsidRPr="0012605F">
        <w:rPr>
          <w:b/>
          <w:sz w:val="22"/>
          <w:szCs w:val="22"/>
        </w:rPr>
        <w:t xml:space="preserve">GESTÃO DO CONTRATO </w:t>
      </w:r>
      <w:r w:rsidR="0041360E" w:rsidRPr="0012605F">
        <w:rPr>
          <w:b/>
          <w:sz w:val="22"/>
          <w:szCs w:val="22"/>
        </w:rPr>
        <w:t>ROTINAS DE FISCALIZAÇÃO CONTRATUAL</w:t>
      </w:r>
    </w:p>
    <w:p w14:paraId="41A11E79" w14:textId="3FDD451E" w:rsidR="00DE1052" w:rsidRPr="00557B55" w:rsidRDefault="00DE1052" w:rsidP="000C5CDD">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A9467DA" w:rsidR="00DE1052"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órgão ou entidade poderá convocar representante da empresa para adoção de providências que devam ser cumpridas de imediato.</w:t>
      </w:r>
    </w:p>
    <w:p w14:paraId="475F8A43" w14:textId="77777777" w:rsidR="00A762BB" w:rsidRPr="00A762BB" w:rsidRDefault="00A762BB"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A762BB">
        <w:rPr>
          <w:rFonts w:eastAsia="Calibri"/>
          <w:sz w:val="22"/>
          <w:szCs w:val="22"/>
        </w:rPr>
        <w:t>O Contratado designará formalmente o preposto da empresa, antes do início da prestação dos serviços, indicando no instrumento os poderes e deveres em relação à execução do objeto Contratado.</w:t>
      </w:r>
    </w:p>
    <w:p w14:paraId="37480E92" w14:textId="4E9759BA" w:rsidR="00A762BB" w:rsidRPr="00A762BB" w:rsidRDefault="00A762BB"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A762BB">
        <w:rPr>
          <w:rFonts w:eastAsia="Calibri"/>
          <w:sz w:val="22"/>
          <w:szCs w:val="22"/>
        </w:rPr>
        <w:t>O Contratado não necessitará manter preposto da empresa no local da execução do objeto durante o período</w:t>
      </w:r>
      <w:r>
        <w:rPr>
          <w:rFonts w:eastAsia="Calibri"/>
          <w:sz w:val="22"/>
          <w:szCs w:val="22"/>
          <w:lang w:val="pt-BR"/>
        </w:rPr>
        <w:t>.</w:t>
      </w:r>
    </w:p>
    <w:p w14:paraId="2A611580" w14:textId="6263D5E6" w:rsidR="00A762BB" w:rsidRPr="00557B55" w:rsidRDefault="00A762BB"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A762BB">
        <w:rPr>
          <w:rFonts w:eastAsia="Calibri"/>
          <w:sz w:val="22"/>
          <w:szCs w:val="22"/>
        </w:rPr>
        <w:t>O Contratante poderá recusar, desde que justificadamente, a indicação ou a manutenção do preposto da empresa, hipótese em que o Contratado designará outro para o exercício da atividade</w:t>
      </w:r>
    </w:p>
    <w:p w14:paraId="4FC2504F"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A execução do contrato deverá ser acompanhada e fiscalizada pelo(s) fiscal(</w:t>
      </w:r>
      <w:proofErr w:type="spellStart"/>
      <w:r w:rsidRPr="00557B55">
        <w:rPr>
          <w:rFonts w:eastAsia="Calibri"/>
          <w:sz w:val="22"/>
          <w:szCs w:val="22"/>
        </w:rPr>
        <w:t>is</w:t>
      </w:r>
      <w:proofErr w:type="spellEnd"/>
      <w:r w:rsidRPr="00557B55">
        <w:rPr>
          <w:rFonts w:eastAsia="Calibri"/>
          <w:sz w:val="22"/>
          <w:szCs w:val="22"/>
        </w:rPr>
        <w:t>) do contrato, ou pelos respectivos substitutos.</w:t>
      </w:r>
    </w:p>
    <w:p w14:paraId="6C8FBAB1" w14:textId="77777777" w:rsidR="00DE1052" w:rsidRPr="00557B55" w:rsidRDefault="00DE1052" w:rsidP="00816BF4">
      <w:pPr>
        <w:pStyle w:val="PargrafodaLista"/>
        <w:numPr>
          <w:ilvl w:val="1"/>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557B55"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557B55"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557B55"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557B55"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No caso de ocorrências que possam inviabilizar a execução do contrato nas datas aprazadas, o fiscal técnico do contrato comunicará o fato imediatamente ao gestor do contrato.</w:t>
      </w:r>
    </w:p>
    <w:p w14:paraId="487FE9E0" w14:textId="14426C45" w:rsidR="00DE1052"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O fiscal técnico do contrato comunicará ao gestor do contrato, em tempo hábil, o término do contrato sob sua responsabilidade, com vistas à tempestiva renovação ou à prorrogação contratual.</w:t>
      </w:r>
    </w:p>
    <w:p w14:paraId="5340463E" w14:textId="3B42076F" w:rsidR="00A762BB" w:rsidRPr="00557B55" w:rsidRDefault="00A762BB" w:rsidP="00816BF4">
      <w:pPr>
        <w:pStyle w:val="PargrafodaLista"/>
        <w:numPr>
          <w:ilvl w:val="2"/>
          <w:numId w:val="7"/>
        </w:numPr>
        <w:tabs>
          <w:tab w:val="left" w:pos="0"/>
        </w:tabs>
        <w:spacing w:line="360" w:lineRule="auto"/>
        <w:ind w:left="0" w:firstLine="0"/>
        <w:jc w:val="both"/>
        <w:rPr>
          <w:rFonts w:eastAsia="Calibri"/>
          <w:sz w:val="22"/>
          <w:szCs w:val="22"/>
        </w:rPr>
      </w:pPr>
      <w:r w:rsidRPr="00A762BB">
        <w:rPr>
          <w:rFonts w:eastAsia="Calibri"/>
          <w:sz w:val="22"/>
          <w:szCs w:val="22"/>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w:t>
      </w:r>
      <w:r>
        <w:rPr>
          <w:rFonts w:eastAsia="Calibri"/>
          <w:sz w:val="22"/>
          <w:szCs w:val="22"/>
          <w:lang w:val="pt-BR"/>
        </w:rPr>
        <w:t>.</w:t>
      </w:r>
    </w:p>
    <w:p w14:paraId="2CCE2A01" w14:textId="0819E2A7" w:rsidR="00A762BB" w:rsidRDefault="00A762BB" w:rsidP="00816BF4">
      <w:pPr>
        <w:pStyle w:val="PargrafodaLista"/>
        <w:numPr>
          <w:ilvl w:val="1"/>
          <w:numId w:val="7"/>
        </w:numPr>
        <w:tabs>
          <w:tab w:val="left" w:pos="0"/>
        </w:tabs>
        <w:spacing w:line="360" w:lineRule="auto"/>
        <w:ind w:left="0" w:firstLine="0"/>
        <w:jc w:val="both"/>
        <w:rPr>
          <w:rFonts w:eastAsia="Calibri"/>
          <w:sz w:val="22"/>
          <w:szCs w:val="22"/>
        </w:rPr>
      </w:pPr>
      <w:r w:rsidRPr="00A762BB">
        <w:rPr>
          <w:rFonts w:eastAsia="Calibri"/>
          <w:sz w:val="22"/>
          <w:szCs w:val="22"/>
          <w:lang w:val="pt-BR"/>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r>
        <w:rPr>
          <w:rFonts w:eastAsia="Calibri"/>
          <w:sz w:val="22"/>
          <w:szCs w:val="22"/>
          <w:lang w:val="pt-BR"/>
        </w:rPr>
        <w:t>.</w:t>
      </w:r>
    </w:p>
    <w:p w14:paraId="6E3C1D53" w14:textId="21DCC068" w:rsidR="00DE1052" w:rsidRPr="00557B55" w:rsidRDefault="00DE1052" w:rsidP="00816BF4">
      <w:pPr>
        <w:pStyle w:val="PargrafodaLista"/>
        <w:numPr>
          <w:ilvl w:val="1"/>
          <w:numId w:val="7"/>
        </w:numPr>
        <w:tabs>
          <w:tab w:val="left" w:pos="0"/>
        </w:tabs>
        <w:spacing w:line="360" w:lineRule="auto"/>
        <w:ind w:left="0" w:firstLine="0"/>
        <w:jc w:val="both"/>
        <w:rPr>
          <w:rFonts w:eastAsia="Calibri"/>
          <w:sz w:val="22"/>
          <w:szCs w:val="22"/>
        </w:rPr>
      </w:pPr>
      <w:r w:rsidRPr="00557B55">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557B55" w:rsidRDefault="00DE1052" w:rsidP="00816BF4">
      <w:pPr>
        <w:pStyle w:val="PargrafodaLista"/>
        <w:numPr>
          <w:ilvl w:val="2"/>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557B55" w:rsidRDefault="00DE1052" w:rsidP="00816BF4">
      <w:pPr>
        <w:pStyle w:val="PargrafodaLista"/>
        <w:numPr>
          <w:ilvl w:val="0"/>
          <w:numId w:val="7"/>
        </w:numPr>
        <w:tabs>
          <w:tab w:val="left" w:pos="0"/>
        </w:tabs>
        <w:spacing w:line="360" w:lineRule="auto"/>
        <w:ind w:left="0" w:firstLine="0"/>
        <w:jc w:val="both"/>
        <w:rPr>
          <w:rFonts w:eastAsia="Calibri"/>
          <w:b/>
          <w:sz w:val="22"/>
          <w:szCs w:val="22"/>
        </w:rPr>
      </w:pPr>
      <w:r w:rsidRPr="00557B55">
        <w:rPr>
          <w:rFonts w:eastAsia="Calibri"/>
          <w:b/>
          <w:sz w:val="22"/>
          <w:szCs w:val="22"/>
        </w:rPr>
        <w:t>CRITÉRIOS DE PAGAMENTO</w:t>
      </w:r>
    </w:p>
    <w:p w14:paraId="626DC3BD" w14:textId="504FE2E3" w:rsidR="00B550C0" w:rsidRPr="00B550C0" w:rsidRDefault="00B550C0" w:rsidP="00816BF4">
      <w:pPr>
        <w:pStyle w:val="PargrafodaLista"/>
        <w:numPr>
          <w:ilvl w:val="1"/>
          <w:numId w:val="7"/>
        </w:numPr>
        <w:spacing w:line="360" w:lineRule="auto"/>
        <w:ind w:left="0" w:firstLine="0"/>
        <w:jc w:val="both"/>
        <w:rPr>
          <w:rFonts w:eastAsia="Calibri"/>
          <w:b/>
          <w:sz w:val="22"/>
          <w:szCs w:val="22"/>
        </w:rPr>
      </w:pPr>
      <w:r w:rsidRPr="00B550C0">
        <w:rPr>
          <w:rFonts w:eastAsia="Calibri"/>
          <w:sz w:val="22"/>
          <w:szCs w:val="22"/>
          <w:lang w:val="pt-BR"/>
        </w:rPr>
        <w:t>O pagamento será realizado no prazo máximo de até 10 (dez) dias, contados a partir do recebimento da Nota Fiscal ou Fatura, através de ordem bancária, para crédito em banco, agência e conta corrente indicados pelo contratado</w:t>
      </w:r>
      <w:r w:rsidRPr="00B550C0">
        <w:rPr>
          <w:rFonts w:eastAsia="Calibri"/>
          <w:sz w:val="22"/>
          <w:szCs w:val="22"/>
        </w:rPr>
        <w:t>.</w:t>
      </w:r>
    </w:p>
    <w:p w14:paraId="6F79913A"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 xml:space="preserve">Os serviços serão recebidos provisoriamente, no prazo de 05 (cinco) dias, pelos fiscais técnico e administrativo, mediante termos detalhados, quando verificado o cumprimento das exigências de caráter técnico e administrativo. </w:t>
      </w:r>
    </w:p>
    <w:p w14:paraId="25C5562F"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prazo da disposição acima será contado do recebimento de comunicação de cobrança oriunda do contratado com a comprovação da prestação dos serviços a que se referem a parcela a ser paga.</w:t>
      </w:r>
    </w:p>
    <w:p w14:paraId="1E880325"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fiscal do contrato, quando houver, realizará o recebimento provisório sob o ponto de vista técnico e administrativo.</w:t>
      </w:r>
    </w:p>
    <w:p w14:paraId="62ED7383"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4A7556F5"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Será considerado como ocorrido o recebimento provisório com a entrega do termo detalhado ou, em havendo mais de um a ser feito, com a entrega do último.</w:t>
      </w:r>
    </w:p>
    <w:p w14:paraId="1295E433"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B604149"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 xml:space="preserve">A fiscalização não efetuará o ateste da última e/ou única medição de serviços até que sejam sanadas todas as eventuais pendências que possam vir a ser apontadas no Recebimento Provisório. </w:t>
      </w:r>
    </w:p>
    <w:p w14:paraId="56B54F4E"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recebimento provisório também ficará sujeito, quando cabível, à conclusão de todos os testes de campo e à entrega dos Manuais e Instruções exigíveis.</w:t>
      </w:r>
    </w:p>
    <w:p w14:paraId="04B04F9C"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Os serviços poderão ser rejeitados, no todo ou em parte, quando em desacordo com as especificações constantes neste Termo de Referência e na proposta, sem prejuízo da aplicação das penalidades.</w:t>
      </w:r>
    </w:p>
    <w:p w14:paraId="7AEAD934"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E9B8F50"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50D5A76F"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B550C0">
        <w:rPr>
          <w:rFonts w:eastAsia="Calibri"/>
          <w:sz w:val="22"/>
          <w:szCs w:val="22"/>
          <w:lang w:eastAsia="x-none"/>
        </w:rPr>
        <w:t>.</w:t>
      </w:r>
    </w:p>
    <w:p w14:paraId="2F853015"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392588B"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Emitir Termo Detalhado para efeito de recebimento definitivo dos serviços prestados, com base nos relatórios e documentações apresentadas; e</w:t>
      </w:r>
    </w:p>
    <w:p w14:paraId="405B87D7"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Comunicar a empresa para que emita a Nota Fiscal ou Fatura, com o valor exato dimensionado pela fiscalização.</w:t>
      </w:r>
    </w:p>
    <w:p w14:paraId="1277178E"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Enviar a documentação pertinente ao setor de contratos para a formalização dos procedimentos de liquidação e pagamento, no valor dimensionado pela fiscalização e gestão.</w:t>
      </w:r>
    </w:p>
    <w:p w14:paraId="7DCF4AE5"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B550C0">
        <w:rPr>
          <w:rFonts w:eastAsia="Calibri"/>
          <w:sz w:val="22"/>
          <w:szCs w:val="22"/>
          <w:lang w:val="x-none" w:eastAsia="x-none"/>
        </w:rPr>
        <w:t>pertine</w:t>
      </w:r>
      <w:proofErr w:type="spellEnd"/>
      <w:r w:rsidRPr="00B550C0">
        <w:rPr>
          <w:rFonts w:eastAsia="Calibri"/>
          <w:sz w:val="22"/>
          <w:szCs w:val="22"/>
          <w:lang w:val="x-none" w:eastAsia="x-none"/>
        </w:rPr>
        <w:t xml:space="preserve"> à parcela incontroversa da execução do objeto, para efeito de liquidação e pagamento.</w:t>
      </w:r>
    </w:p>
    <w:p w14:paraId="147928C2"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Nenhum prazo de recebimento ocorrerá enquanto pendente a solução, pelo contratado, de inconsistências verificadas na execução do objeto ou no instrumento de cobrança.</w:t>
      </w:r>
    </w:p>
    <w:p w14:paraId="071D4DCE"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recebimento provisório ou definitivo não excluirá a responsabilidade civil pela solidez e pela segurança do serviço nem a responsabilidade ético-profissional pela perfeita execução do contrato.</w:t>
      </w:r>
    </w:p>
    <w:p w14:paraId="0A3E9B93"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Recebida a Nota Fiscal ou documento de cobrança equivalente, correrá o prazo de dez dias úteis para fins de liquidação, na forma desta seção, prorrogáveis por igual período, nos termos do art. 7º, §2º da Instrução Normativa SEGES/ME nº 77/2022.</w:t>
      </w:r>
    </w:p>
    <w:p w14:paraId="1EE311AC"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0829C0F7"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Para fins de liquidação, o setor competente deve verificar se a Nota Fiscal ou Fatura apresentada expressa os elementos necessários e essenciais do documento, tais como:</w:t>
      </w:r>
    </w:p>
    <w:p w14:paraId="44DC702A"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o prazo de validade;</w:t>
      </w:r>
    </w:p>
    <w:p w14:paraId="57C7CA15"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a data da emissão;</w:t>
      </w:r>
    </w:p>
    <w:p w14:paraId="26A064C4"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os dados do contrato e do órgão contratante;</w:t>
      </w:r>
    </w:p>
    <w:p w14:paraId="72468493"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o período respectivo de execução do contrato;</w:t>
      </w:r>
    </w:p>
    <w:p w14:paraId="1658DF49"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o valor a pagar; e</w:t>
      </w:r>
    </w:p>
    <w:p w14:paraId="6A7AABF0"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eventual destaque do valor de retenções tributárias cabíveis.</w:t>
      </w:r>
    </w:p>
    <w:p w14:paraId="7F230DC5"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ED43ADE"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A Nota Fiscal ou Fatura deverá ser obrigatoriamente acompanhada da comprovação da regularidade</w:t>
      </w:r>
      <w:r w:rsidRPr="00B550C0">
        <w:rPr>
          <w:rFonts w:eastAsia="Calibri"/>
          <w:sz w:val="22"/>
          <w:szCs w:val="22"/>
          <w:lang w:eastAsia="x-none"/>
        </w:rPr>
        <w:t xml:space="preserve"> </w:t>
      </w:r>
      <w:r w:rsidRPr="00B550C0">
        <w:rPr>
          <w:rFonts w:eastAsia="Calibri"/>
          <w:sz w:val="22"/>
          <w:szCs w:val="22"/>
          <w:lang w:val="x-none" w:eastAsia="x-none"/>
        </w:rPr>
        <w:t>fiscal, constatada por meio de consulta on-line ao SICAF ou, na impossibilidade de acesso ao referido</w:t>
      </w:r>
      <w:r w:rsidRPr="00B550C0">
        <w:rPr>
          <w:rFonts w:eastAsia="Calibri"/>
          <w:sz w:val="22"/>
          <w:szCs w:val="22"/>
          <w:lang w:eastAsia="x-none"/>
        </w:rPr>
        <w:t xml:space="preserve"> </w:t>
      </w:r>
      <w:r w:rsidRPr="00B550C0">
        <w:rPr>
          <w:rFonts w:eastAsia="Calibri"/>
          <w:sz w:val="22"/>
          <w:szCs w:val="22"/>
          <w:lang w:val="x-none" w:eastAsia="x-none"/>
        </w:rPr>
        <w:t>Sistema, mediante consulta aos sítios eletrônicos oficiais ou à documentação mencionada no art. 68 da Lei nº</w:t>
      </w:r>
      <w:r w:rsidRPr="00B550C0">
        <w:rPr>
          <w:rFonts w:eastAsia="Calibri"/>
          <w:sz w:val="22"/>
          <w:szCs w:val="22"/>
          <w:lang w:eastAsia="x-none"/>
        </w:rPr>
        <w:t xml:space="preserve"> </w:t>
      </w:r>
      <w:r w:rsidRPr="00B550C0">
        <w:rPr>
          <w:rFonts w:eastAsia="Calibri"/>
          <w:sz w:val="22"/>
          <w:szCs w:val="22"/>
          <w:lang w:val="x-none" w:eastAsia="x-none"/>
        </w:rPr>
        <w:t>14.133/2021.</w:t>
      </w:r>
    </w:p>
    <w:p w14:paraId="2EE3640A"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pagamento será efetuado no prazo máximo de até dez dias úteis, contados da finalização da liquidação da despesa, conforme seção anterior, nos termos da Instrução Normativa SEGES/ME nº 77, de 2022.</w:t>
      </w:r>
    </w:p>
    <w:p w14:paraId="6481A42E" w14:textId="32A7AFA7" w:rsidR="00B550C0" w:rsidRPr="00B550C0" w:rsidRDefault="001E2A19" w:rsidP="00816BF4">
      <w:pPr>
        <w:numPr>
          <w:ilvl w:val="1"/>
          <w:numId w:val="7"/>
        </w:numPr>
        <w:spacing w:line="360" w:lineRule="auto"/>
        <w:ind w:left="0" w:firstLine="0"/>
        <w:contextualSpacing/>
        <w:jc w:val="both"/>
        <w:rPr>
          <w:rFonts w:eastAsia="Calibri"/>
          <w:sz w:val="22"/>
          <w:szCs w:val="22"/>
          <w:lang w:val="x-none" w:eastAsia="x-none"/>
        </w:rPr>
      </w:pPr>
      <w:r>
        <w:rPr>
          <w:rFonts w:eastAsia="Calibri"/>
          <w:sz w:val="22"/>
          <w:szCs w:val="22"/>
          <w:lang w:eastAsia="x-none"/>
        </w:rPr>
        <w:t xml:space="preserve">No </w:t>
      </w:r>
      <w:r w:rsidRPr="001E2A19">
        <w:rPr>
          <w:rFonts w:eastAsia="Calibri"/>
          <w:sz w:val="22"/>
          <w:szCs w:val="22"/>
          <w:lang w:eastAsia="x-none"/>
        </w:rPr>
        <w:t>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r w:rsidR="00B550C0" w:rsidRPr="00B550C0">
        <w:rPr>
          <w:rFonts w:eastAsia="Calibri"/>
          <w:sz w:val="22"/>
          <w:szCs w:val="22"/>
          <w:lang w:eastAsia="x-none"/>
        </w:rPr>
        <w:t>.</w:t>
      </w:r>
    </w:p>
    <w:p w14:paraId="5C845CAA"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pagamento será realizado através de ordem bancária, para crédito em banco, agência e conta corrente indicados pelo contratado.</w:t>
      </w:r>
    </w:p>
    <w:p w14:paraId="5CE3CB6F"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Será considerada data do pagamento o dia em que constar como emitida a ordem bancária para pagamento.</w:t>
      </w:r>
    </w:p>
    <w:p w14:paraId="2A004DD2"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Quando do pagamento, será efetuada a retenção tributária prevista na legislação aplicável.</w:t>
      </w:r>
    </w:p>
    <w:p w14:paraId="68B64BBA"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Independentemente do percentual de tributo inserido na planilha, quando houver, serão retidos na fonte, quando da realização do pagamento, os percentuais estabelecidos na legislação vigente.</w:t>
      </w:r>
    </w:p>
    <w:p w14:paraId="348401A0"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3F35E9" w14:textId="73456FC0" w:rsidR="00B550C0" w:rsidRPr="00B550C0" w:rsidRDefault="00FA29A1" w:rsidP="00816BF4">
      <w:pPr>
        <w:numPr>
          <w:ilvl w:val="1"/>
          <w:numId w:val="7"/>
        </w:numPr>
        <w:spacing w:line="360" w:lineRule="auto"/>
        <w:ind w:left="0" w:firstLine="0"/>
        <w:contextualSpacing/>
        <w:jc w:val="both"/>
        <w:rPr>
          <w:rFonts w:eastAsia="Calibri"/>
          <w:sz w:val="22"/>
          <w:szCs w:val="22"/>
          <w:lang w:val="x-none" w:eastAsia="x-none"/>
        </w:rPr>
      </w:pPr>
      <w:r w:rsidRPr="00FA29A1">
        <w:rPr>
          <w:rFonts w:eastAsia="Calibri"/>
          <w:sz w:val="22"/>
          <w:szCs w:val="22"/>
          <w:lang w:val="x-none" w:eastAsia="x-none"/>
        </w:rPr>
        <w:t>Os preços inicialmente contratados são fixos e irreajustáveis no prazo de um ano contado da data do orçamento estimado</w:t>
      </w:r>
      <w:r w:rsidR="00816BF4">
        <w:rPr>
          <w:rFonts w:eastAsia="Calibri"/>
          <w:sz w:val="22"/>
          <w:szCs w:val="22"/>
          <w:lang w:eastAsia="x-none"/>
        </w:rPr>
        <w:t>.</w:t>
      </w:r>
    </w:p>
    <w:p w14:paraId="5F03FCDD" w14:textId="1586533D"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 xml:space="preserve">Após o interregno de um ano, e independentemente de pedido do Contratado, os preços iniciais serão reajustados, mediante a aplicação, pelo Contratante, do </w:t>
      </w:r>
      <w:r w:rsidR="00FA29A1" w:rsidRPr="00FA29A1">
        <w:rPr>
          <w:rFonts w:eastAsia="Calibri"/>
          <w:sz w:val="22"/>
          <w:szCs w:val="22"/>
          <w:lang w:eastAsia="x-none"/>
        </w:rPr>
        <w:t>Índice Nacional de Preços ao Consumidor Amplo (IPCA)</w:t>
      </w:r>
      <w:r w:rsidRPr="00B550C0">
        <w:rPr>
          <w:rFonts w:eastAsia="Calibri"/>
          <w:sz w:val="22"/>
          <w:szCs w:val="22"/>
          <w:lang w:val="x-none" w:eastAsia="x-none"/>
        </w:rPr>
        <w:t>, exclusivamente para as obrigações iniciadas e concluídas após a ocorrência da anualidade.</w:t>
      </w:r>
    </w:p>
    <w:p w14:paraId="3708A698"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Nos reajustes subsequentes ao primeiro, o interregno mínimo de um ano será contado a partir dos efeitos financeiros do último reajuste.</w:t>
      </w:r>
    </w:p>
    <w:p w14:paraId="61EBD5CE"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2F762FB5"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Nas aferições finais, o(s) índice(s) utilizado(s) para reajuste será(</w:t>
      </w:r>
      <w:proofErr w:type="spellStart"/>
      <w:r w:rsidRPr="00B550C0">
        <w:rPr>
          <w:rFonts w:eastAsia="Calibri"/>
          <w:sz w:val="22"/>
          <w:szCs w:val="22"/>
          <w:lang w:val="x-none" w:eastAsia="x-none"/>
        </w:rPr>
        <w:t>ão</w:t>
      </w:r>
      <w:proofErr w:type="spellEnd"/>
      <w:r w:rsidRPr="00B550C0">
        <w:rPr>
          <w:rFonts w:eastAsia="Calibri"/>
          <w:sz w:val="22"/>
          <w:szCs w:val="22"/>
          <w:lang w:val="x-none" w:eastAsia="x-none"/>
        </w:rPr>
        <w:t>), obrigatoriamente, o(s) definitivo(s).</w:t>
      </w:r>
    </w:p>
    <w:p w14:paraId="6410ED7F"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Caso o(s) índice(s) estabelecido(s) para reajustamento venha(m) a ser extinto(s) ou de qualquer forma não possa(m) mais ser utilizado(s), será(</w:t>
      </w:r>
      <w:proofErr w:type="spellStart"/>
      <w:r w:rsidRPr="00B550C0">
        <w:rPr>
          <w:rFonts w:eastAsia="Calibri"/>
          <w:sz w:val="22"/>
          <w:szCs w:val="22"/>
          <w:lang w:val="x-none" w:eastAsia="x-none"/>
        </w:rPr>
        <w:t>ão</w:t>
      </w:r>
      <w:proofErr w:type="spellEnd"/>
      <w:r w:rsidRPr="00B550C0">
        <w:rPr>
          <w:rFonts w:eastAsia="Calibri"/>
          <w:sz w:val="22"/>
          <w:szCs w:val="22"/>
          <w:lang w:val="x-none" w:eastAsia="x-none"/>
        </w:rPr>
        <w:t>) adotado(s), em substituição, o(s) que vier(em) a ser determinado(s) pela legislação então em vigor.</w:t>
      </w:r>
    </w:p>
    <w:p w14:paraId="78740A8F"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Na ausência de previsão legal quanto ao índice substituto, as partes elegerão novo índice oficial, para reajustamento do preço do valor remanescente, por meio de termo aditivo.</w:t>
      </w:r>
    </w:p>
    <w:p w14:paraId="16C5FF98" w14:textId="192F9684" w:rsid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reajuste será realizado por apostilamento.</w:t>
      </w:r>
    </w:p>
    <w:p w14:paraId="78AED79E" w14:textId="77777777" w:rsidR="001E2A19" w:rsidRDefault="001E2A19" w:rsidP="001E2A19">
      <w:pPr>
        <w:pStyle w:val="PargrafodaLista"/>
        <w:numPr>
          <w:ilvl w:val="0"/>
          <w:numId w:val="22"/>
        </w:numPr>
        <w:spacing w:line="360" w:lineRule="auto"/>
        <w:ind w:left="0" w:firstLine="0"/>
        <w:jc w:val="both"/>
        <w:rPr>
          <w:b/>
          <w:sz w:val="22"/>
          <w:szCs w:val="22"/>
        </w:rPr>
      </w:pPr>
      <w:r>
        <w:rPr>
          <w:b/>
          <w:sz w:val="22"/>
          <w:szCs w:val="22"/>
        </w:rPr>
        <w:t>INFRAÇÕES E SANÇÕES ADMINISTRATIVAS</w:t>
      </w:r>
    </w:p>
    <w:p w14:paraId="6692AEAC" w14:textId="77777777" w:rsidR="001E2A19" w:rsidRDefault="001E2A19" w:rsidP="001E2A19">
      <w:pPr>
        <w:spacing w:line="360" w:lineRule="auto"/>
        <w:jc w:val="both"/>
        <w:rPr>
          <w:sz w:val="22"/>
          <w:szCs w:val="22"/>
        </w:rPr>
      </w:pPr>
      <w:r>
        <w:rPr>
          <w:sz w:val="22"/>
          <w:szCs w:val="22"/>
        </w:rPr>
        <w:t>8.1</w:t>
      </w:r>
      <w:r>
        <w:rPr>
          <w:sz w:val="22"/>
          <w:szCs w:val="22"/>
        </w:rPr>
        <w:tab/>
        <w:t>Comete infração administrativa, nos termos da Lei nº 14.133, de 2021, o contratado que:</w:t>
      </w:r>
    </w:p>
    <w:p w14:paraId="2443FA71"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der causa à inexecução parcial do contrato;</w:t>
      </w:r>
    </w:p>
    <w:p w14:paraId="5EEB817D"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der causa à inexecução parcial do contrato que cause grave dano à Administração ou ao funcionamento dos serviços públicos ou ao interesse coletivo;</w:t>
      </w:r>
    </w:p>
    <w:p w14:paraId="0BD37A58"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der causa à inexecução total do contrato;</w:t>
      </w:r>
    </w:p>
    <w:p w14:paraId="4B0944F4"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ensejar o retardamento da execução ou da entrega do objeto da contratação sem motivo justificado;</w:t>
      </w:r>
    </w:p>
    <w:p w14:paraId="3DA72D51"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apresentar documentação falsa ou prestar declaração falsa durante a execução do contrato;</w:t>
      </w:r>
    </w:p>
    <w:p w14:paraId="51824CC0"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praticar ato fraudulento na execução do contrato;</w:t>
      </w:r>
    </w:p>
    <w:p w14:paraId="0EC730CD"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comportar-se de modo inidôneo ou cometer fraude de qualquer natureza;</w:t>
      </w:r>
    </w:p>
    <w:p w14:paraId="0AA7F427"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praticar ato lesivo previsto no art. 5º da Lei nº 12.846, de 1º de agosto de 2013.</w:t>
      </w:r>
    </w:p>
    <w:p w14:paraId="684E412D" w14:textId="77777777" w:rsidR="001E2A19" w:rsidRDefault="001E2A19" w:rsidP="001E2A19">
      <w:pPr>
        <w:pStyle w:val="PargrafodaLista"/>
        <w:numPr>
          <w:ilvl w:val="1"/>
          <w:numId w:val="24"/>
        </w:numPr>
        <w:spacing w:line="360" w:lineRule="auto"/>
        <w:ind w:left="0" w:firstLine="0"/>
        <w:jc w:val="both"/>
        <w:rPr>
          <w:sz w:val="22"/>
          <w:szCs w:val="22"/>
          <w:lang w:val="pt-BR"/>
        </w:rPr>
      </w:pPr>
      <w:r>
        <w:rPr>
          <w:sz w:val="22"/>
          <w:szCs w:val="22"/>
        </w:rPr>
        <w:t>Serão aplicadas ao contratado que incorrer nas infrações acima descritas as seguintes sanções:</w:t>
      </w:r>
    </w:p>
    <w:p w14:paraId="1D27405A"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Advertência, quando o contratado der causa à inexecução parcial do contrato, sempre que não se justificar a imposição de penalidade mais grave;</w:t>
      </w:r>
    </w:p>
    <w:p w14:paraId="05DC90D8" w14:textId="77777777" w:rsidR="001E2A19" w:rsidRDefault="001E2A19" w:rsidP="001E2A19">
      <w:pPr>
        <w:numPr>
          <w:ilvl w:val="2"/>
          <w:numId w:val="24"/>
        </w:numPr>
        <w:spacing w:line="360" w:lineRule="auto"/>
        <w:ind w:left="0" w:firstLine="0"/>
        <w:contextualSpacing/>
        <w:jc w:val="both"/>
        <w:rPr>
          <w:sz w:val="22"/>
          <w:szCs w:val="22"/>
          <w:lang w:val="x-none" w:eastAsia="x-none"/>
        </w:rPr>
      </w:pPr>
      <w:r>
        <w:rPr>
          <w:sz w:val="22"/>
          <w:szCs w:val="22"/>
          <w:lang w:val="x-none" w:eastAsia="x-none"/>
        </w:rPr>
        <w:t>Impedimento de licitar e contratar, quando praticadas as condutas descritas nas alíneas “b”, “c” e “d” do subitem acima deste Contrato, sempre que não se justificar a imposição de penalidade mais grave;</w:t>
      </w:r>
    </w:p>
    <w:p w14:paraId="79AD6144" w14:textId="77777777" w:rsidR="001E2A19" w:rsidRDefault="001E2A19" w:rsidP="001E2A19">
      <w:pPr>
        <w:numPr>
          <w:ilvl w:val="2"/>
          <w:numId w:val="24"/>
        </w:numPr>
        <w:spacing w:line="360" w:lineRule="auto"/>
        <w:ind w:left="0" w:firstLine="0"/>
        <w:contextualSpacing/>
        <w:jc w:val="both"/>
        <w:rPr>
          <w:sz w:val="22"/>
          <w:szCs w:val="22"/>
          <w:lang w:val="x-none" w:eastAsia="x-none"/>
        </w:rPr>
      </w:pPr>
      <w:r>
        <w:rPr>
          <w:sz w:val="22"/>
          <w:szCs w:val="22"/>
          <w:lang w:val="x-none" w:eastAsia="x-none"/>
        </w:rPr>
        <w:t>Declaração de inidoneidade para licitar e contratar, quando praticadas as condutas descritas nas alíneas “e”, “f”, “g” e “h” do subitem acima deste Contrato, bem como nas alíneas “b”, “c” e “d”, que justifiquem a imposição de penalidade mais grave.</w:t>
      </w:r>
    </w:p>
    <w:p w14:paraId="0B7973C1" w14:textId="77777777" w:rsidR="001E2A19" w:rsidRDefault="001E2A19" w:rsidP="001E2A19">
      <w:pPr>
        <w:numPr>
          <w:ilvl w:val="2"/>
          <w:numId w:val="24"/>
        </w:numPr>
        <w:spacing w:line="360" w:lineRule="auto"/>
        <w:ind w:left="0" w:firstLine="0"/>
        <w:contextualSpacing/>
        <w:jc w:val="both"/>
        <w:rPr>
          <w:sz w:val="22"/>
          <w:szCs w:val="22"/>
          <w:lang w:val="x-none" w:eastAsia="x-none"/>
        </w:rPr>
      </w:pPr>
      <w:r>
        <w:rPr>
          <w:sz w:val="22"/>
          <w:szCs w:val="22"/>
          <w:lang w:val="x-none" w:eastAsia="x-none"/>
        </w:rPr>
        <w:t>Multa:</w:t>
      </w:r>
    </w:p>
    <w:p w14:paraId="4D5A64F1"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Moratória de 0,3% (três décimos por cento) por dia de atraso injustificado sobre o valor da parcela inadimplida, até o limite de 30 (trinta) dias;</w:t>
      </w:r>
    </w:p>
    <w:p w14:paraId="1FDF4360"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53287AD6"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Compensatória, para as infrações descritas nas alíneas “e” a “h” do subitem 12.1, de 15% (quinze por cento) a 30% (trinta por cento) do valor do Contrato.</w:t>
      </w:r>
    </w:p>
    <w:p w14:paraId="52FD5016"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 xml:space="preserve">Compensatória, para a inexecução total do contrato prevista na alínea “c” do subitem 12.1, de 0,5% (cinco décimos por cento) a 30% (trinta por cento) do valor do Contrato. </w:t>
      </w:r>
    </w:p>
    <w:p w14:paraId="5AF64EDB"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Para infração descrita na alínea “b” do subitem 12.1, a multa será de 0,5% (cinco décimos por cento) a 30% (trinta por cento) do valor do Contrato.</w:t>
      </w:r>
    </w:p>
    <w:p w14:paraId="363C12DB"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Para infrações descritas na alínea “d” do subitem 12.1, a multa será de 0,5% (cinco décimos por cento) a 15% (quinze por cento) do valor do Contrato.</w:t>
      </w:r>
    </w:p>
    <w:p w14:paraId="39AC3998"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Para a infração descrita na alínea “a” do subitem 12.1, a multa será de 0,5% (cinco décimos por cento) a 15% (quinze por cento) do valor do Contrato, ressalvadas as seguintes infrações:</w:t>
      </w:r>
    </w:p>
    <w:p w14:paraId="1F2A547D"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 xml:space="preserve">A aplicação das sanções previstas neste Contrato não exclui, em hipótese alguma, a obrigação de reparação integral do dano causado ao Contratante. </w:t>
      </w:r>
    </w:p>
    <w:p w14:paraId="35F7F1D6"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Todas as sanções previstas neste Contrato poderão ser aplicadas cumulativamente com a multa.</w:t>
      </w:r>
    </w:p>
    <w:p w14:paraId="040581F4"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Antes da aplicação da multa será facultada a defesa do interessado no prazo de 15 (quinze) dias úteis, contado da data de sua intimação.</w:t>
      </w:r>
    </w:p>
    <w:p w14:paraId="62570DA2"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40B2EF32"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A multa poderá ser recolhida administrativamente no prazo máximo de 30 (trinta) dias, a contar da data do recebimento da comunicação enviada pela autoridade competente.</w:t>
      </w:r>
    </w:p>
    <w:p w14:paraId="2B8F27DC"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DF8DC78"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Para a garantia da ampla defesa e contraditório, as notificações serão enviadas eletronicamente para os endereços de e-mail informados na proposta comercial, bem como os cadastrados pela empresa no SICAF.</w:t>
      </w:r>
    </w:p>
    <w:p w14:paraId="3F2EAE40" w14:textId="77777777" w:rsidR="001E2A19" w:rsidRDefault="001E2A19" w:rsidP="001E2A19">
      <w:pPr>
        <w:numPr>
          <w:ilvl w:val="2"/>
          <w:numId w:val="24"/>
        </w:numPr>
        <w:spacing w:line="360" w:lineRule="auto"/>
        <w:ind w:left="0" w:firstLine="0"/>
        <w:contextualSpacing/>
        <w:jc w:val="both"/>
        <w:rPr>
          <w:sz w:val="22"/>
          <w:szCs w:val="22"/>
          <w:lang w:val="x-none" w:eastAsia="x-none"/>
        </w:rPr>
      </w:pPr>
      <w:r>
        <w:rPr>
          <w:sz w:val="22"/>
          <w:szCs w:val="22"/>
          <w:lang w:val="x-none" w:eastAsia="x-none"/>
        </w:rPr>
        <w:t>Os endereços de e-mail informados na proposta comercial e/ou cadastrados no SICAF serão considerados de uso contínuo da empresa, não cabendo alegação de desconhecimento das comunicações a eles comprovadamente enviadas.</w:t>
      </w:r>
    </w:p>
    <w:p w14:paraId="7CDFB21A"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Na aplicação das sanções serão considerados:</w:t>
      </w:r>
    </w:p>
    <w:p w14:paraId="2CC07C05"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a natureza e a gravidade da infração cometida;</w:t>
      </w:r>
    </w:p>
    <w:p w14:paraId="6F6286EF"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as peculiaridades do caso concreto;</w:t>
      </w:r>
    </w:p>
    <w:p w14:paraId="31DF64BA"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as circunstâncias agravantes ou atenuantes;</w:t>
      </w:r>
    </w:p>
    <w:p w14:paraId="62280E9B"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os danos que dela provierem para o Contratante;</w:t>
      </w:r>
    </w:p>
    <w:p w14:paraId="35C544C0"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a implantação ou o aperfeiçoamento de programa de integridade, conforme normas e orientações dos órgãos de controle.</w:t>
      </w:r>
    </w:p>
    <w:p w14:paraId="6BEB3790"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39BF89E5"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419F654" w14:textId="77777777" w:rsidR="001E2A19" w:rsidRDefault="001E2A19" w:rsidP="00D527DB">
      <w:pPr>
        <w:pStyle w:val="PargrafodaLista"/>
        <w:numPr>
          <w:ilvl w:val="1"/>
          <w:numId w:val="24"/>
        </w:numPr>
        <w:spacing w:line="360" w:lineRule="auto"/>
        <w:ind w:left="0" w:firstLine="0"/>
        <w:jc w:val="both"/>
        <w:rPr>
          <w:sz w:val="22"/>
          <w:szCs w:val="22"/>
        </w:rPr>
      </w:pPr>
      <w:r>
        <w:rPr>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sz w:val="22"/>
          <w:szCs w:val="22"/>
        </w:rPr>
        <w:t>Ceis</w:t>
      </w:r>
      <w:proofErr w:type="spellEnd"/>
      <w:r>
        <w:rPr>
          <w:sz w:val="22"/>
          <w:szCs w:val="22"/>
        </w:rPr>
        <w:t>) e no Cadastro Nacional de Empresas Punidas (</w:t>
      </w:r>
      <w:proofErr w:type="spellStart"/>
      <w:r>
        <w:rPr>
          <w:sz w:val="22"/>
          <w:szCs w:val="22"/>
        </w:rPr>
        <w:t>Cnep</w:t>
      </w:r>
      <w:proofErr w:type="spellEnd"/>
      <w:r>
        <w:rPr>
          <w:sz w:val="22"/>
          <w:szCs w:val="22"/>
        </w:rPr>
        <w:t xml:space="preserve">), instituídos no âmbito do Poder Executivo Federal. </w:t>
      </w:r>
    </w:p>
    <w:p w14:paraId="730BA9B6" w14:textId="77777777" w:rsidR="001E2A19" w:rsidRDefault="001E2A19" w:rsidP="00D527DB">
      <w:pPr>
        <w:pStyle w:val="PargrafodaLista"/>
        <w:numPr>
          <w:ilvl w:val="1"/>
          <w:numId w:val="24"/>
        </w:numPr>
        <w:spacing w:line="360" w:lineRule="auto"/>
        <w:ind w:left="0" w:firstLine="0"/>
        <w:jc w:val="both"/>
        <w:rPr>
          <w:sz w:val="22"/>
          <w:szCs w:val="22"/>
        </w:rPr>
      </w:pPr>
      <w:r>
        <w:rPr>
          <w:sz w:val="22"/>
          <w:szCs w:val="22"/>
        </w:rPr>
        <w:t>As sanções de impedimento de licitar e contratar e declaração de inidoneidade para licitar ou contratar são passíveis de reabilitação na forma do art. 163 da Lei nº 14.133/21.</w:t>
      </w:r>
    </w:p>
    <w:p w14:paraId="217AA9F9" w14:textId="77777777" w:rsidR="001E2A19" w:rsidRDefault="001E2A19" w:rsidP="00D527DB">
      <w:pPr>
        <w:pStyle w:val="PargrafodaLista"/>
        <w:numPr>
          <w:ilvl w:val="1"/>
          <w:numId w:val="24"/>
        </w:numPr>
        <w:spacing w:line="360" w:lineRule="auto"/>
        <w:ind w:left="0" w:firstLine="0"/>
        <w:jc w:val="both"/>
        <w:rPr>
          <w:sz w:val="22"/>
          <w:szCs w:val="22"/>
        </w:rPr>
      </w:pPr>
      <w:r>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4EE035ED" w14:textId="57B6F11F" w:rsidR="001A27B9" w:rsidRPr="00026215" w:rsidRDefault="001A27B9" w:rsidP="00D527DB">
      <w:pPr>
        <w:pStyle w:val="PargrafodaLista"/>
        <w:numPr>
          <w:ilvl w:val="0"/>
          <w:numId w:val="24"/>
        </w:numPr>
        <w:tabs>
          <w:tab w:val="left" w:pos="0"/>
        </w:tabs>
        <w:spacing w:line="360" w:lineRule="auto"/>
        <w:ind w:left="0" w:firstLine="0"/>
        <w:jc w:val="both"/>
        <w:rPr>
          <w:rFonts w:eastAsia="Calibri"/>
          <w:b/>
          <w:sz w:val="22"/>
          <w:szCs w:val="22"/>
          <w:lang w:val="pt-BR"/>
        </w:rPr>
      </w:pPr>
      <w:r w:rsidRPr="00026215">
        <w:rPr>
          <w:b/>
          <w:sz w:val="22"/>
          <w:szCs w:val="22"/>
        </w:rPr>
        <w:t xml:space="preserve">FORMA E CRITÉRIOS DE SELEÇÃO DO FORNECEDOR </w:t>
      </w:r>
    </w:p>
    <w:p w14:paraId="687F963B" w14:textId="16A8C1A6" w:rsidR="001B2ED3" w:rsidRPr="001B2ED3" w:rsidRDefault="001B2ED3" w:rsidP="00D527DB">
      <w:pPr>
        <w:pStyle w:val="PargrafodaLista"/>
        <w:numPr>
          <w:ilvl w:val="1"/>
          <w:numId w:val="24"/>
        </w:numPr>
        <w:tabs>
          <w:tab w:val="left" w:pos="0"/>
          <w:tab w:val="left" w:pos="142"/>
        </w:tabs>
        <w:spacing w:line="360" w:lineRule="auto"/>
        <w:ind w:left="0" w:firstLine="0"/>
        <w:jc w:val="both"/>
        <w:rPr>
          <w:sz w:val="22"/>
          <w:szCs w:val="22"/>
          <w:lang w:val="pt-BR"/>
        </w:rPr>
      </w:pPr>
      <w:r w:rsidRPr="001B2ED3">
        <w:rPr>
          <w:sz w:val="22"/>
          <w:szCs w:val="22"/>
          <w:lang w:val="pt-BR"/>
        </w:rPr>
        <w:t xml:space="preserve">O fornecedor será selecionado por meio da realização de procedimento de LICITAÇÃO, na modalidade PREGÃO, sob a forma ELETRÔNICA, com adoção do critério de julgamento pelo </w:t>
      </w:r>
      <w:r w:rsidR="00782047">
        <w:rPr>
          <w:bCs/>
          <w:sz w:val="22"/>
          <w:szCs w:val="22"/>
          <w:lang w:val="pt-BR"/>
        </w:rPr>
        <w:t>Menor Preço</w:t>
      </w:r>
      <w:r w:rsidR="000A395A">
        <w:rPr>
          <w:bCs/>
          <w:sz w:val="22"/>
          <w:szCs w:val="22"/>
          <w:lang w:val="pt-BR"/>
        </w:rPr>
        <w:t>.</w:t>
      </w:r>
    </w:p>
    <w:p w14:paraId="4653C3DD" w14:textId="02524A6A" w:rsidR="00B30DF1" w:rsidRPr="00557B55" w:rsidRDefault="001A27B9"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Para fins de contratação, deverá o fornecedor comprovar os seguintes requisitos de habilitação.</w:t>
      </w:r>
    </w:p>
    <w:p w14:paraId="2D17C66A"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Empresário individual:</w:t>
      </w:r>
      <w:r w:rsidRPr="00557B55">
        <w:rPr>
          <w:sz w:val="22"/>
          <w:szCs w:val="22"/>
        </w:rPr>
        <w:t xml:space="preserve"> inscrição no Registro Público de Empresas Mercantis, a cargo da Junta Comercial da respectiva sede; </w:t>
      </w:r>
    </w:p>
    <w:p w14:paraId="0423AACD"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Microempreendedor Individual - MEI:</w:t>
      </w:r>
      <w:r w:rsidRPr="00557B55">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Sociedade empresária, sociedade limitada unipessoal – SLU ou sociedade identificada como empresa individual de responsabilidade limitada - EIRELI:</w:t>
      </w:r>
      <w:r w:rsidRPr="00557B55">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Sociedade empresária estrangeira:</w:t>
      </w:r>
      <w:r w:rsidRPr="00557B55">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Sociedade simples:</w:t>
      </w:r>
      <w:r w:rsidRPr="00557B55">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Filial, sucursal ou agência de sociedade simples ou empresária:</w:t>
      </w:r>
      <w:r w:rsidRPr="00557B55">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557B55">
        <w:rPr>
          <w:sz w:val="22"/>
          <w:szCs w:val="22"/>
          <w:lang w:val="pt-BR"/>
        </w:rPr>
        <w:t>.</w:t>
      </w:r>
    </w:p>
    <w:p w14:paraId="50F45B70" w14:textId="77777777" w:rsidR="001467D5"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Sociedade cooperativa:</w:t>
      </w:r>
      <w:r w:rsidRPr="00557B55">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Os documentos apresentados deverão estar acompanhados de todas as alterações ou da consolidação respectiva.</w:t>
      </w:r>
    </w:p>
    <w:p w14:paraId="2407FC5B" w14:textId="3C48BD04"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Prova de inscrição no Cadastro Nacional de Pessoas Jurídicas ou no Cadastro de Pessoas Físicas, conforme o caso;</w:t>
      </w:r>
    </w:p>
    <w:p w14:paraId="6168FD48"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Prova de regularidade com o Fundo de Garantia do Tempo de Serviço (FGTS);</w:t>
      </w:r>
    </w:p>
    <w:p w14:paraId="6A8B88A9"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bookmarkStart w:id="4" w:name="_Hlk161295820"/>
      <w:r w:rsidRPr="00557B55">
        <w:rPr>
          <w:sz w:val="22"/>
          <w:szCs w:val="22"/>
        </w:rPr>
        <w:t>Prova de regularidade com a Fazenda Estadual</w:t>
      </w:r>
      <w:r w:rsidR="001E7B32" w:rsidRPr="00557B55">
        <w:rPr>
          <w:sz w:val="22"/>
          <w:szCs w:val="22"/>
          <w:lang w:val="pt-BR"/>
        </w:rPr>
        <w:t xml:space="preserve"> </w:t>
      </w:r>
      <w:r w:rsidRPr="00557B55">
        <w:rPr>
          <w:sz w:val="22"/>
          <w:szCs w:val="22"/>
        </w:rPr>
        <w:t>do domicílio ou sede do fornecedor, relativa à atividade em cujo exercício contrata ou concorre</w:t>
      </w:r>
      <w:bookmarkEnd w:id="4"/>
      <w:r w:rsidRPr="00557B55">
        <w:rPr>
          <w:sz w:val="22"/>
          <w:szCs w:val="22"/>
        </w:rPr>
        <w:t>;</w:t>
      </w:r>
    </w:p>
    <w:p w14:paraId="07A6029D" w14:textId="2653A69F" w:rsidR="00585306" w:rsidRPr="00557B55" w:rsidRDefault="0058530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Prova de regularidade com a Fazenda Municipal do domicílio ou sede do fornecedor, relativa à atividade em cujo exercício contrata ou concorre</w:t>
      </w:r>
    </w:p>
    <w:p w14:paraId="683D6EC3" w14:textId="4D352B4B"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08AC384B" w14:textId="77777777" w:rsidR="000A395A"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2749093" w14:textId="0C0721E6" w:rsidR="000A395A" w:rsidRPr="000A395A" w:rsidRDefault="000A395A" w:rsidP="00D527DB">
      <w:pPr>
        <w:pStyle w:val="PargrafodaLista"/>
        <w:numPr>
          <w:ilvl w:val="1"/>
          <w:numId w:val="24"/>
        </w:numPr>
        <w:tabs>
          <w:tab w:val="left" w:pos="0"/>
          <w:tab w:val="left" w:pos="142"/>
        </w:tabs>
        <w:spacing w:line="360" w:lineRule="auto"/>
        <w:ind w:left="0" w:firstLine="0"/>
        <w:jc w:val="both"/>
        <w:rPr>
          <w:sz w:val="22"/>
          <w:szCs w:val="22"/>
        </w:rPr>
      </w:pPr>
      <w:r w:rsidRPr="000A395A">
        <w:rPr>
          <w:sz w:val="22"/>
          <w:szCs w:val="22"/>
        </w:rPr>
        <w:t xml:space="preserve">Certidão negativa de falência ou recuperação judicial, ou liquidação judicial, ou de execução patrimonial, conforme o caso, expedida pelo distribuidor da sede do licitante, ou de seu domicílio. Em qualquer hipótese, mesmo que o licitante seja a filial, este documento deverá estar em nome da matriz; </w:t>
      </w:r>
    </w:p>
    <w:p w14:paraId="7CDB4BC3" w14:textId="1B3E6FB4" w:rsidR="000A395A" w:rsidRDefault="000A395A" w:rsidP="001A01B7">
      <w:pPr>
        <w:pStyle w:val="PargrafodaLista"/>
        <w:numPr>
          <w:ilvl w:val="2"/>
          <w:numId w:val="24"/>
        </w:numPr>
        <w:tabs>
          <w:tab w:val="left" w:pos="0"/>
        </w:tabs>
        <w:spacing w:line="360" w:lineRule="auto"/>
        <w:ind w:left="0" w:firstLine="0"/>
        <w:jc w:val="both"/>
        <w:rPr>
          <w:sz w:val="22"/>
          <w:szCs w:val="22"/>
        </w:rPr>
      </w:pPr>
      <w:r w:rsidRPr="000A395A">
        <w:rPr>
          <w:sz w:val="22"/>
          <w:szCs w:val="22"/>
        </w:rPr>
        <w:t>Poderão participar do certame os licitantes que apresentarem certidão positiva de recuperação judicial, desde que comprove, pelos documentos hábeis, que o plano de recuperação judicial foi deferido e homologado, por decisão transitada em julgado, do juízo da recuperação judicial. Elucide-se que se trata da decisão concessiva do benefício da recuperação judicial e não da decisão na qual o juízo manda processar a recuperação judicial. No caso da recuperação extrajudicial o licitante deverá comprovar que o plano de recuperação foi homologado judicialmente. A participação do licitante em recuperação judicial e extrajudicial só será permitida, nos termos do plano devidamente homologado.</w:t>
      </w:r>
    </w:p>
    <w:p w14:paraId="45501A9E" w14:textId="35FA3773" w:rsidR="001A01B7" w:rsidRPr="000A395A" w:rsidRDefault="001A01B7" w:rsidP="001A01B7">
      <w:pPr>
        <w:pStyle w:val="PargrafodaLista"/>
        <w:numPr>
          <w:ilvl w:val="1"/>
          <w:numId w:val="24"/>
        </w:numPr>
        <w:tabs>
          <w:tab w:val="left" w:pos="0"/>
        </w:tabs>
        <w:spacing w:line="360" w:lineRule="auto"/>
        <w:ind w:left="0" w:firstLine="0"/>
        <w:jc w:val="both"/>
        <w:rPr>
          <w:sz w:val="22"/>
          <w:szCs w:val="22"/>
        </w:rPr>
      </w:pPr>
      <w:r w:rsidRPr="001A01B7">
        <w:rPr>
          <w:sz w:val="22"/>
          <w:szCs w:val="22"/>
          <w:lang w:val="pt-BR"/>
        </w:rPr>
        <w:t xml:space="preserve">Comprovação de aptidão da proponente, mediante apresentação de 01 (um) atestado fornecidos por pessoas jurídicas de direito público ou privado, de desempenho de atividades pertinentes e compatíveis com o objeto da presente licitação. </w:t>
      </w:r>
    </w:p>
    <w:p w14:paraId="7765D0AD" w14:textId="7440742A" w:rsidR="00B84C93" w:rsidRPr="00557B55" w:rsidRDefault="00307DEB" w:rsidP="001A01B7">
      <w:pPr>
        <w:pStyle w:val="PargrafodaLista"/>
        <w:numPr>
          <w:ilvl w:val="0"/>
          <w:numId w:val="24"/>
        </w:numPr>
        <w:tabs>
          <w:tab w:val="left" w:pos="0"/>
        </w:tabs>
        <w:spacing w:line="360" w:lineRule="auto"/>
        <w:ind w:left="0" w:firstLine="0"/>
        <w:jc w:val="both"/>
        <w:rPr>
          <w:rFonts w:eastAsia="Calibri"/>
          <w:sz w:val="22"/>
          <w:szCs w:val="22"/>
        </w:rPr>
      </w:pPr>
      <w:r w:rsidRPr="00557B55">
        <w:rPr>
          <w:rFonts w:eastAsia="Calibri"/>
          <w:b/>
          <w:sz w:val="22"/>
          <w:szCs w:val="22"/>
        </w:rPr>
        <w:t>ESTIMATIVAS DO VALOR DA CONTRATAÇÃO</w:t>
      </w:r>
    </w:p>
    <w:p w14:paraId="5E9FEFC7" w14:textId="78F80C20" w:rsidR="00FD20F6" w:rsidRPr="00FD20F6" w:rsidRDefault="00FD20F6" w:rsidP="001A01B7">
      <w:pPr>
        <w:pStyle w:val="PargrafodaLista"/>
        <w:numPr>
          <w:ilvl w:val="1"/>
          <w:numId w:val="30"/>
        </w:numPr>
        <w:tabs>
          <w:tab w:val="left" w:pos="0"/>
        </w:tabs>
        <w:spacing w:line="360" w:lineRule="auto"/>
        <w:ind w:left="0" w:firstLine="0"/>
        <w:jc w:val="both"/>
        <w:rPr>
          <w:rFonts w:eastAsia="Calibri"/>
          <w:sz w:val="22"/>
          <w:szCs w:val="22"/>
        </w:rPr>
      </w:pPr>
      <w:r w:rsidRPr="00FD20F6">
        <w:rPr>
          <w:rFonts w:eastAsia="Calibri"/>
          <w:sz w:val="22"/>
          <w:szCs w:val="22"/>
        </w:rPr>
        <w:t xml:space="preserve">O custo estimado total da contratação, que é o máximo aceitável é de R$ </w:t>
      </w:r>
      <w:r w:rsidR="00DE74D7">
        <w:rPr>
          <w:rFonts w:eastAsia="Calibri"/>
          <w:sz w:val="22"/>
          <w:szCs w:val="22"/>
          <w:lang w:val="pt-BR"/>
        </w:rPr>
        <w:t>80.400,00 (oitenta mil e quatrocentos reais)</w:t>
      </w:r>
      <w:r w:rsidR="0005105C">
        <w:rPr>
          <w:rFonts w:eastAsia="Calibri"/>
          <w:sz w:val="22"/>
          <w:szCs w:val="22"/>
          <w:lang w:val="pt-BR"/>
        </w:rPr>
        <w:t xml:space="preserve">, </w:t>
      </w:r>
      <w:r w:rsidRPr="00FD20F6">
        <w:rPr>
          <w:rFonts w:eastAsia="Calibri"/>
          <w:sz w:val="22"/>
          <w:szCs w:val="22"/>
        </w:rPr>
        <w:t>conforme custos unitários apostos na tabela acima.</w:t>
      </w:r>
    </w:p>
    <w:p w14:paraId="5E471F5D" w14:textId="77777777" w:rsidR="007019CE" w:rsidRPr="00557B55" w:rsidRDefault="001A27B9" w:rsidP="00FD20F6">
      <w:pPr>
        <w:pStyle w:val="PargrafodaLista"/>
        <w:numPr>
          <w:ilvl w:val="0"/>
          <w:numId w:val="30"/>
        </w:numPr>
        <w:tabs>
          <w:tab w:val="left" w:pos="0"/>
          <w:tab w:val="left" w:pos="142"/>
        </w:tabs>
        <w:spacing w:line="360" w:lineRule="auto"/>
        <w:ind w:left="0" w:firstLine="0"/>
        <w:jc w:val="both"/>
        <w:rPr>
          <w:rFonts w:eastAsia="Calibri"/>
          <w:b/>
          <w:sz w:val="22"/>
          <w:szCs w:val="22"/>
        </w:rPr>
      </w:pPr>
      <w:r w:rsidRPr="00557B55">
        <w:rPr>
          <w:b/>
          <w:sz w:val="22"/>
          <w:szCs w:val="22"/>
        </w:rPr>
        <w:t xml:space="preserve">ADEQUAÇÃO ORÇAMENTÁRIA </w:t>
      </w:r>
      <w:bookmarkStart w:id="5" w:name="_Hlk167709235"/>
      <w:bookmarkStart w:id="6" w:name="_Hlk170128120"/>
      <w:bookmarkStart w:id="7" w:name="_Hlk169785025"/>
    </w:p>
    <w:bookmarkEnd w:id="5"/>
    <w:bookmarkEnd w:id="6"/>
    <w:bookmarkEnd w:id="7"/>
    <w:bookmarkEnd w:id="0"/>
    <w:p w14:paraId="1CE120B5" w14:textId="77777777" w:rsidR="006F0C58" w:rsidRPr="00FA29A1" w:rsidRDefault="006F0C58" w:rsidP="00FD20F6">
      <w:pPr>
        <w:pStyle w:val="PargrafodaLista"/>
        <w:numPr>
          <w:ilvl w:val="1"/>
          <w:numId w:val="30"/>
        </w:numPr>
        <w:tabs>
          <w:tab w:val="left" w:pos="0"/>
        </w:tabs>
        <w:spacing w:line="360" w:lineRule="auto"/>
        <w:ind w:left="0" w:firstLine="0"/>
        <w:jc w:val="both"/>
        <w:rPr>
          <w:rFonts w:eastAsia="Calibri"/>
          <w:sz w:val="22"/>
          <w:szCs w:val="22"/>
        </w:rPr>
      </w:pPr>
      <w:r>
        <w:rPr>
          <w:rFonts w:eastAsia="Calibri"/>
          <w:sz w:val="22"/>
          <w:szCs w:val="22"/>
        </w:rPr>
        <w:t xml:space="preserve">Despesas decorrentes </w:t>
      </w:r>
      <w:r w:rsidRPr="00FA29A1">
        <w:rPr>
          <w:rFonts w:eastAsia="Calibri"/>
          <w:sz w:val="22"/>
          <w:szCs w:val="22"/>
        </w:rPr>
        <w:t>da presente contratação correrão à conta de recursos específicos consignados no Orçamento Geral do Município.</w:t>
      </w:r>
    </w:p>
    <w:p w14:paraId="03B08AB0" w14:textId="77777777" w:rsidR="006F0C58" w:rsidRPr="00FA29A1" w:rsidRDefault="006F0C58" w:rsidP="00FD20F6">
      <w:pPr>
        <w:pStyle w:val="PargrafodaLista"/>
        <w:numPr>
          <w:ilvl w:val="1"/>
          <w:numId w:val="30"/>
        </w:numPr>
        <w:tabs>
          <w:tab w:val="left" w:pos="0"/>
        </w:tabs>
        <w:spacing w:line="360" w:lineRule="auto"/>
        <w:ind w:left="0" w:firstLine="0"/>
        <w:jc w:val="both"/>
        <w:rPr>
          <w:rFonts w:eastAsia="Calibri"/>
          <w:sz w:val="22"/>
          <w:szCs w:val="22"/>
        </w:rPr>
      </w:pPr>
      <w:r w:rsidRPr="00FA29A1">
        <w:rPr>
          <w:rFonts w:eastAsia="Calibri"/>
          <w:sz w:val="22"/>
          <w:szCs w:val="22"/>
        </w:rPr>
        <w:t>A contratação será atendida pela seguinte dotação:</w:t>
      </w:r>
    </w:p>
    <w:p w14:paraId="1807FCCC" w14:textId="77777777" w:rsidR="00512D5A" w:rsidRPr="00AF3A07" w:rsidRDefault="00512D5A" w:rsidP="00512D5A">
      <w:pPr>
        <w:spacing w:line="360" w:lineRule="auto"/>
        <w:jc w:val="both"/>
        <w:rPr>
          <w:color w:val="000000" w:themeColor="text1"/>
          <w:sz w:val="22"/>
          <w:szCs w:val="22"/>
        </w:rPr>
      </w:pPr>
      <w:bookmarkStart w:id="8" w:name="_Hlk170822443"/>
      <w:bookmarkStart w:id="9" w:name="_Hlk167688817"/>
      <w:r w:rsidRPr="00AF3A07">
        <w:rPr>
          <w:color w:val="000000" w:themeColor="text1"/>
          <w:sz w:val="22"/>
          <w:szCs w:val="22"/>
        </w:rPr>
        <w:t>Órgão: 02 PODER EXECUTIVO</w:t>
      </w:r>
    </w:p>
    <w:p w14:paraId="0579D45D" w14:textId="249D3DD0" w:rsidR="00512D5A" w:rsidRPr="00AF3A07" w:rsidRDefault="00512D5A" w:rsidP="00512D5A">
      <w:pPr>
        <w:spacing w:line="360" w:lineRule="auto"/>
        <w:jc w:val="both"/>
        <w:rPr>
          <w:color w:val="000000" w:themeColor="text1"/>
          <w:sz w:val="22"/>
          <w:szCs w:val="22"/>
        </w:rPr>
      </w:pPr>
      <w:r w:rsidRPr="00AF3A07">
        <w:rPr>
          <w:color w:val="000000" w:themeColor="text1"/>
          <w:sz w:val="22"/>
          <w:szCs w:val="22"/>
        </w:rPr>
        <w:t xml:space="preserve">Unidade: </w:t>
      </w:r>
      <w:r w:rsidR="001A01B7" w:rsidRPr="001A01B7">
        <w:rPr>
          <w:color w:val="000000" w:themeColor="text1"/>
          <w:sz w:val="22"/>
          <w:szCs w:val="22"/>
        </w:rPr>
        <w:t>02.04 SECRETARIA ADMINISTRAÇÃO E PLANEJAMENTO</w:t>
      </w:r>
    </w:p>
    <w:p w14:paraId="2DD49461" w14:textId="691DCF84" w:rsidR="00512D5A" w:rsidRPr="00AF3A07" w:rsidRDefault="00512D5A" w:rsidP="00512D5A">
      <w:pPr>
        <w:spacing w:line="360" w:lineRule="auto"/>
        <w:jc w:val="both"/>
        <w:rPr>
          <w:bCs/>
          <w:color w:val="000000" w:themeColor="text1"/>
          <w:sz w:val="22"/>
          <w:szCs w:val="22"/>
        </w:rPr>
      </w:pPr>
      <w:r w:rsidRPr="00AF3A07">
        <w:rPr>
          <w:bCs/>
          <w:color w:val="000000" w:themeColor="text1"/>
          <w:sz w:val="22"/>
          <w:szCs w:val="22"/>
        </w:rPr>
        <w:t xml:space="preserve">Sub - Unidade: </w:t>
      </w:r>
      <w:r w:rsidR="001A01B7" w:rsidRPr="001A01B7">
        <w:rPr>
          <w:bCs/>
          <w:color w:val="000000" w:themeColor="text1"/>
          <w:sz w:val="22"/>
          <w:szCs w:val="22"/>
        </w:rPr>
        <w:t>COORD. DA SECRETARIA DE ADMINISTRAÇÃO</w:t>
      </w:r>
    </w:p>
    <w:p w14:paraId="4F4D279A" w14:textId="366DAA2D" w:rsidR="00512D5A" w:rsidRPr="00AF3A07" w:rsidRDefault="00512D5A" w:rsidP="00512D5A">
      <w:pPr>
        <w:spacing w:line="360" w:lineRule="auto"/>
        <w:jc w:val="both"/>
        <w:rPr>
          <w:b/>
          <w:bCs/>
          <w:iCs/>
          <w:color w:val="000000" w:themeColor="text1"/>
          <w:sz w:val="22"/>
          <w:szCs w:val="22"/>
        </w:rPr>
      </w:pPr>
      <w:r w:rsidRPr="00AF3A07">
        <w:rPr>
          <w:bCs/>
          <w:color w:val="000000" w:themeColor="text1"/>
          <w:sz w:val="22"/>
          <w:szCs w:val="22"/>
        </w:rPr>
        <w:t xml:space="preserve">Funcional Programática: </w:t>
      </w:r>
      <w:r w:rsidR="001A01B7" w:rsidRPr="001A01B7">
        <w:rPr>
          <w:bCs/>
          <w:iCs/>
          <w:color w:val="000000" w:themeColor="text1"/>
          <w:sz w:val="22"/>
          <w:szCs w:val="22"/>
        </w:rPr>
        <w:t>04.122.0003.4018 Atividades Secretaria de Administração</w:t>
      </w:r>
    </w:p>
    <w:p w14:paraId="5DF51B08" w14:textId="77777777" w:rsidR="00512D5A" w:rsidRPr="00AF3A07" w:rsidRDefault="00512D5A" w:rsidP="00512D5A">
      <w:pPr>
        <w:spacing w:line="360" w:lineRule="auto"/>
        <w:jc w:val="both"/>
        <w:rPr>
          <w:bCs/>
          <w:iCs/>
          <w:color w:val="000000" w:themeColor="text1"/>
          <w:sz w:val="22"/>
          <w:szCs w:val="22"/>
        </w:rPr>
      </w:pPr>
      <w:bookmarkStart w:id="10" w:name="_Hlk170130129"/>
      <w:r w:rsidRPr="00AF3A07">
        <w:rPr>
          <w:bCs/>
          <w:iCs/>
          <w:color w:val="000000" w:themeColor="text1"/>
          <w:sz w:val="22"/>
          <w:szCs w:val="22"/>
        </w:rPr>
        <w:t>Elemento da Despesa: 3.3.90.39.00 Outros Serv. Terceiros - Pessoa Jurídica</w:t>
      </w:r>
    </w:p>
    <w:bookmarkEnd w:id="10"/>
    <w:p w14:paraId="1F1AE4D0" w14:textId="77777777" w:rsidR="00512D5A" w:rsidRPr="00AF3A07" w:rsidRDefault="00512D5A" w:rsidP="00512D5A">
      <w:pPr>
        <w:spacing w:line="360" w:lineRule="auto"/>
        <w:jc w:val="both"/>
        <w:rPr>
          <w:iCs/>
          <w:color w:val="000000" w:themeColor="text1"/>
          <w:sz w:val="22"/>
          <w:szCs w:val="22"/>
        </w:rPr>
      </w:pPr>
      <w:r w:rsidRPr="00AF3A07">
        <w:rPr>
          <w:bCs/>
          <w:iCs/>
          <w:color w:val="000000" w:themeColor="text1"/>
          <w:sz w:val="22"/>
          <w:szCs w:val="22"/>
        </w:rPr>
        <w:t xml:space="preserve">Fonte de Recurso: </w:t>
      </w:r>
      <w:r w:rsidRPr="00AF3A07">
        <w:rPr>
          <w:iCs/>
          <w:color w:val="000000" w:themeColor="text1"/>
          <w:sz w:val="22"/>
          <w:szCs w:val="22"/>
        </w:rPr>
        <w:t xml:space="preserve">1.500.000.0000 Recursos não vinculados de Impostos </w:t>
      </w:r>
    </w:p>
    <w:bookmarkEnd w:id="8"/>
    <w:bookmarkEnd w:id="9"/>
    <w:p w14:paraId="25F5D29F" w14:textId="77777777" w:rsidR="006F0C58" w:rsidRPr="00FA29A1" w:rsidRDefault="006F0C58" w:rsidP="00FD20F6">
      <w:pPr>
        <w:pStyle w:val="PargrafodaLista"/>
        <w:numPr>
          <w:ilvl w:val="1"/>
          <w:numId w:val="30"/>
        </w:numPr>
        <w:spacing w:line="360" w:lineRule="auto"/>
        <w:ind w:left="0" w:firstLine="0"/>
        <w:jc w:val="both"/>
        <w:rPr>
          <w:rFonts w:eastAsia="Calibri"/>
          <w:sz w:val="22"/>
          <w:szCs w:val="22"/>
        </w:rPr>
      </w:pPr>
      <w:r w:rsidRPr="00FA29A1">
        <w:rPr>
          <w:rFonts w:eastAsia="Calibri"/>
          <w:sz w:val="22"/>
          <w:szCs w:val="22"/>
        </w:rPr>
        <w:t xml:space="preserve">A dotação relativa aos exercícios financeiros subsequentes será indicada após aprovação da Lei Orçamentária respectiva e liberação dos créditos correspondentes, mediante apostilamento.         </w:t>
      </w:r>
    </w:p>
    <w:p w14:paraId="4077251B" w14:textId="5C424E6E" w:rsidR="00353F49" w:rsidRPr="00AF3A07" w:rsidRDefault="00353F49" w:rsidP="00353F49">
      <w:pPr>
        <w:spacing w:line="360" w:lineRule="auto"/>
        <w:ind w:left="360"/>
        <w:jc w:val="center"/>
        <w:rPr>
          <w:bCs/>
          <w:iCs/>
          <w:sz w:val="22"/>
          <w:szCs w:val="22"/>
        </w:rPr>
      </w:pPr>
      <w:bookmarkStart w:id="11" w:name="_GoBack"/>
      <w:bookmarkEnd w:id="1"/>
      <w:bookmarkEnd w:id="11"/>
    </w:p>
    <w:p w14:paraId="734E1392" w14:textId="7582BABA" w:rsidR="005B4A7B" w:rsidRPr="00FA29A1" w:rsidRDefault="005B4A7B" w:rsidP="003C2CC3">
      <w:pPr>
        <w:pStyle w:val="PargrafodaLista"/>
        <w:tabs>
          <w:tab w:val="left" w:pos="0"/>
          <w:tab w:val="left" w:pos="142"/>
        </w:tabs>
        <w:spacing w:line="360" w:lineRule="auto"/>
        <w:ind w:left="0"/>
        <w:jc w:val="both"/>
        <w:rPr>
          <w:rFonts w:eastAsia="Calibri"/>
          <w:sz w:val="22"/>
          <w:szCs w:val="22"/>
        </w:rPr>
      </w:pPr>
    </w:p>
    <w:sectPr w:rsidR="005B4A7B" w:rsidRPr="00FA29A1" w:rsidSect="009768F4">
      <w:headerReference w:type="default" r:id="rId8"/>
      <w:footerReference w:type="default" r:id="rId9"/>
      <w:pgSz w:w="11907" w:h="16840" w:code="9"/>
      <w:pgMar w:top="2377" w:right="1134" w:bottom="709" w:left="1134" w:header="1666"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9EE9D" w14:textId="77777777" w:rsidR="00A33A9D" w:rsidRDefault="00A33A9D">
      <w:r>
        <w:separator/>
      </w:r>
    </w:p>
  </w:endnote>
  <w:endnote w:type="continuationSeparator" w:id="0">
    <w:p w14:paraId="0634E912" w14:textId="77777777" w:rsidR="00A33A9D" w:rsidRDefault="00A3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D50E5A6" w:rsidR="00A33A9D" w:rsidRDefault="00257B73" w:rsidP="00DA307E">
    <w:pPr>
      <w:tabs>
        <w:tab w:val="center" w:pos="4252"/>
        <w:tab w:val="right" w:pos="8504"/>
      </w:tabs>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9768F4">
      <w:rPr>
        <w:noProof/>
      </w:rPr>
      <w:drawing>
        <wp:anchor distT="0" distB="0" distL="114300" distR="114300" simplePos="0" relativeHeight="251658240" behindDoc="0" locked="0" layoutInCell="1" allowOverlap="1" wp14:anchorId="222C8EF2" wp14:editId="3B5179D3">
          <wp:simplePos x="0" y="0"/>
          <wp:positionH relativeFrom="margin">
            <wp:posOffset>-789940</wp:posOffset>
          </wp:positionH>
          <wp:positionV relativeFrom="margin">
            <wp:posOffset>8136582</wp:posOffset>
          </wp:positionV>
          <wp:extent cx="7634605" cy="998220"/>
          <wp:effectExtent l="0" t="0" r="4445" b="0"/>
          <wp:wrapSquare wrapText="bothSides"/>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A9D" w:rsidRPr="00DA307E">
      <w:rPr>
        <w:noProof/>
      </w:rPr>
      <w:drawing>
        <wp:anchor distT="0" distB="0" distL="114300" distR="114300" simplePos="0" relativeHeight="251656192" behindDoc="0" locked="0" layoutInCell="1" allowOverlap="1" wp14:anchorId="13F6A371" wp14:editId="504BC60A">
          <wp:simplePos x="0" y="0"/>
          <wp:positionH relativeFrom="margin">
            <wp:posOffset>-53340</wp:posOffset>
          </wp:positionH>
          <wp:positionV relativeFrom="margin">
            <wp:posOffset>10083800</wp:posOffset>
          </wp:positionV>
          <wp:extent cx="7614920" cy="552450"/>
          <wp:effectExtent l="0" t="0" r="0" b="0"/>
          <wp:wrapSquare wrapText="bothSides"/>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8F1CC" w14:textId="77777777" w:rsidR="00A33A9D" w:rsidRDefault="00A33A9D">
      <w:r>
        <w:separator/>
      </w:r>
    </w:p>
  </w:footnote>
  <w:footnote w:type="continuationSeparator" w:id="0">
    <w:p w14:paraId="5C71D248" w14:textId="77777777" w:rsidR="00A33A9D" w:rsidRDefault="00A3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B8516" w14:textId="25411A7B" w:rsidR="009768F4" w:rsidRDefault="009768F4">
    <w:pPr>
      <w:pStyle w:val="Cabealho"/>
    </w:pPr>
    <w:r>
      <w:rPr>
        <w:noProof/>
      </w:rPr>
      <w:drawing>
        <wp:anchor distT="0" distB="0" distL="114300" distR="114300" simplePos="0" relativeHeight="251657216" behindDoc="0" locked="0" layoutInCell="1" allowOverlap="1" wp14:anchorId="4DA1B1C1" wp14:editId="5933451F">
          <wp:simplePos x="0" y="0"/>
          <wp:positionH relativeFrom="margin">
            <wp:posOffset>-790539</wp:posOffset>
          </wp:positionH>
          <wp:positionV relativeFrom="margin">
            <wp:posOffset>-1441226</wp:posOffset>
          </wp:positionV>
          <wp:extent cx="7637145" cy="1295400"/>
          <wp:effectExtent l="0" t="0" r="1905" b="0"/>
          <wp:wrapSquare wrapText="bothSides"/>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885C03"/>
    <w:multiLevelType w:val="multilevel"/>
    <w:tmpl w:val="41B2BD8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0B47D5"/>
    <w:multiLevelType w:val="multilevel"/>
    <w:tmpl w:val="10BE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81E7B"/>
    <w:multiLevelType w:val="hybridMultilevel"/>
    <w:tmpl w:val="F498EC4C"/>
    <w:lvl w:ilvl="0" w:tplc="0C80E080">
      <w:start w:val="4"/>
      <w:numFmt w:val="bullet"/>
      <w:lvlText w:val="•"/>
      <w:lvlJc w:val="center"/>
      <w:pPr>
        <w:ind w:left="1065" w:hanging="705"/>
      </w:pPr>
      <w:rPr>
        <w:rFonts w:ascii="Times New Roman" w:eastAsia="Times New Roman" w:hAnsi="Times New Roman"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8672FD4"/>
    <w:multiLevelType w:val="multilevel"/>
    <w:tmpl w:val="363293EE"/>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 w15:restartNumberingAfterBreak="0">
    <w:nsid w:val="359E1CA1"/>
    <w:multiLevelType w:val="hybridMultilevel"/>
    <w:tmpl w:val="E0E66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2D6C18"/>
    <w:multiLevelType w:val="hybridMultilevel"/>
    <w:tmpl w:val="5074EF04"/>
    <w:lvl w:ilvl="0" w:tplc="93D255F2">
      <w:start w:val="1"/>
      <w:numFmt w:val="lowerLetter"/>
      <w:lvlText w:val="%1)"/>
      <w:lvlJc w:val="left"/>
      <w:pPr>
        <w:ind w:left="1065" w:hanging="705"/>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4BE25265"/>
    <w:multiLevelType w:val="hybridMultilevel"/>
    <w:tmpl w:val="DD7EEC7C"/>
    <w:lvl w:ilvl="0" w:tplc="FFBA22B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DFC7F9B"/>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6" w15:restartNumberingAfterBreak="0">
    <w:nsid w:val="50550840"/>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b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1800" w:hanging="1440"/>
      </w:pPr>
      <w:rPr>
        <w:rFonts w:eastAsia="Calibri"/>
      </w:rPr>
    </w:lvl>
  </w:abstractNum>
  <w:abstractNum w:abstractNumId="17" w15:restartNumberingAfterBreak="0">
    <w:nsid w:val="53385C87"/>
    <w:multiLevelType w:val="multilevel"/>
    <w:tmpl w:val="C5B2EC28"/>
    <w:lvl w:ilvl="0">
      <w:start w:val="8"/>
      <w:numFmt w:val="decimal"/>
      <w:lvlText w:val="%1."/>
      <w:lvlJc w:val="left"/>
      <w:pPr>
        <w:ind w:left="720" w:hanging="360"/>
      </w:pPr>
    </w:lvl>
    <w:lvl w:ilvl="1">
      <w:start w:val="1"/>
      <w:numFmt w:val="decimal"/>
      <w:isLgl/>
      <w:lvlText w:val="%1.%2"/>
      <w:lvlJc w:val="left"/>
      <w:pPr>
        <w:ind w:left="720" w:hanging="36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b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1800" w:hanging="1440"/>
      </w:pPr>
      <w:rPr>
        <w:rFonts w:eastAsia="Calibri"/>
      </w:rPr>
    </w:lvl>
  </w:abstractNum>
  <w:abstractNum w:abstractNumId="19"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6E713D9"/>
    <w:multiLevelType w:val="multilevel"/>
    <w:tmpl w:val="E710D1B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94D2136"/>
    <w:multiLevelType w:val="multilevel"/>
    <w:tmpl w:val="95B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DE943D5"/>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6" w15:restartNumberingAfterBreak="0">
    <w:nsid w:val="700C4312"/>
    <w:multiLevelType w:val="multilevel"/>
    <w:tmpl w:val="A48A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113C6B"/>
    <w:multiLevelType w:val="multilevel"/>
    <w:tmpl w:val="4D24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42467"/>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9"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12"/>
  </w:num>
  <w:num w:numId="2">
    <w:abstractNumId w:val="0"/>
  </w:num>
  <w:num w:numId="3">
    <w:abstractNumId w:val="29"/>
  </w:num>
  <w:num w:numId="4">
    <w:abstractNumId w:val="5"/>
  </w:num>
  <w:num w:numId="5">
    <w:abstractNumId w:val="24"/>
  </w:num>
  <w:num w:numId="6">
    <w:abstractNumId w:val="23"/>
  </w:num>
  <w:num w:numId="7">
    <w:abstractNumId w:val="30"/>
  </w:num>
  <w:num w:numId="8">
    <w:abstractNumId w:val="2"/>
  </w:num>
  <w:num w:numId="9">
    <w:abstractNumId w:val="19"/>
  </w:num>
  <w:num w:numId="10">
    <w:abstractNumId w:val="20"/>
  </w:num>
  <w:num w:numId="11">
    <w:abstractNumId w:val="11"/>
  </w:num>
  <w:num w:numId="12">
    <w:abstractNumId w:val="9"/>
  </w:num>
  <w:num w:numId="13">
    <w:abstractNumId w:val="8"/>
  </w:num>
  <w:num w:numId="14">
    <w:abstractNumId w:val="21"/>
  </w:num>
  <w:num w:numId="15">
    <w:abstractNumId w:val="1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3"/>
  </w:num>
  <w:num w:numId="19">
    <w:abstractNumId w:val="26"/>
  </w:num>
  <w:num w:numId="20">
    <w:abstractNumId w:val="22"/>
  </w:num>
  <w:num w:numId="21">
    <w:abstractNumId w:val="4"/>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5"/>
  </w:num>
  <w:num w:numId="26">
    <w:abstractNumId w:val="28"/>
  </w:num>
  <w:num w:numId="27">
    <w:abstractNumId w:val="25"/>
  </w:num>
  <w:num w:numId="28">
    <w:abstractNumId w:val="18"/>
  </w:num>
  <w:num w:numId="29">
    <w:abstractNumId w:val="16"/>
  </w:num>
  <w:num w:numId="30">
    <w:abstractNumId w:val="1"/>
  </w:num>
  <w:num w:numId="31">
    <w:abstractNumId w:val="6"/>
  </w:num>
  <w:num w:numId="3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2D7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4B05"/>
    <w:rsid w:val="00026215"/>
    <w:rsid w:val="0002653C"/>
    <w:rsid w:val="00027702"/>
    <w:rsid w:val="000300E2"/>
    <w:rsid w:val="00030932"/>
    <w:rsid w:val="00031534"/>
    <w:rsid w:val="00031CBA"/>
    <w:rsid w:val="00031D34"/>
    <w:rsid w:val="00031F96"/>
    <w:rsid w:val="000322A5"/>
    <w:rsid w:val="0003314E"/>
    <w:rsid w:val="00033414"/>
    <w:rsid w:val="00035D26"/>
    <w:rsid w:val="000400A5"/>
    <w:rsid w:val="000423E3"/>
    <w:rsid w:val="000428F9"/>
    <w:rsid w:val="0004466A"/>
    <w:rsid w:val="00045EB9"/>
    <w:rsid w:val="00047017"/>
    <w:rsid w:val="00050473"/>
    <w:rsid w:val="00050E3C"/>
    <w:rsid w:val="0005105C"/>
    <w:rsid w:val="000526E3"/>
    <w:rsid w:val="000574BE"/>
    <w:rsid w:val="0005767C"/>
    <w:rsid w:val="00057994"/>
    <w:rsid w:val="00060613"/>
    <w:rsid w:val="0006111B"/>
    <w:rsid w:val="00063409"/>
    <w:rsid w:val="00065524"/>
    <w:rsid w:val="00066C58"/>
    <w:rsid w:val="00070118"/>
    <w:rsid w:val="0007066F"/>
    <w:rsid w:val="00072A62"/>
    <w:rsid w:val="00073FC4"/>
    <w:rsid w:val="00075A7D"/>
    <w:rsid w:val="0008623F"/>
    <w:rsid w:val="0009011B"/>
    <w:rsid w:val="00090BA2"/>
    <w:rsid w:val="00090D4D"/>
    <w:rsid w:val="00090DAF"/>
    <w:rsid w:val="000924E0"/>
    <w:rsid w:val="0009505B"/>
    <w:rsid w:val="00096C5C"/>
    <w:rsid w:val="000A21C6"/>
    <w:rsid w:val="000A247F"/>
    <w:rsid w:val="000A3574"/>
    <w:rsid w:val="000A395A"/>
    <w:rsid w:val="000B0A8D"/>
    <w:rsid w:val="000B16F7"/>
    <w:rsid w:val="000B41F9"/>
    <w:rsid w:val="000B4A48"/>
    <w:rsid w:val="000B4EF9"/>
    <w:rsid w:val="000B6781"/>
    <w:rsid w:val="000C09B0"/>
    <w:rsid w:val="000C4232"/>
    <w:rsid w:val="000C45E2"/>
    <w:rsid w:val="000C535D"/>
    <w:rsid w:val="000C55EB"/>
    <w:rsid w:val="000C5CDD"/>
    <w:rsid w:val="000C6871"/>
    <w:rsid w:val="000D226D"/>
    <w:rsid w:val="000D3B4F"/>
    <w:rsid w:val="000D4C94"/>
    <w:rsid w:val="000E0B44"/>
    <w:rsid w:val="000E4C25"/>
    <w:rsid w:val="000E4EFF"/>
    <w:rsid w:val="000E5F83"/>
    <w:rsid w:val="000E73DE"/>
    <w:rsid w:val="000F19C0"/>
    <w:rsid w:val="000F22C4"/>
    <w:rsid w:val="000F26D4"/>
    <w:rsid w:val="000F2A8D"/>
    <w:rsid w:val="000F2D81"/>
    <w:rsid w:val="000F37CB"/>
    <w:rsid w:val="000F3BD8"/>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5680"/>
    <w:rsid w:val="00115CAF"/>
    <w:rsid w:val="0011619A"/>
    <w:rsid w:val="00116784"/>
    <w:rsid w:val="001171DC"/>
    <w:rsid w:val="001179EB"/>
    <w:rsid w:val="00121049"/>
    <w:rsid w:val="0012282A"/>
    <w:rsid w:val="00123F73"/>
    <w:rsid w:val="00125541"/>
    <w:rsid w:val="00125D4D"/>
    <w:rsid w:val="0012605F"/>
    <w:rsid w:val="00126118"/>
    <w:rsid w:val="001269B3"/>
    <w:rsid w:val="001271C7"/>
    <w:rsid w:val="001301EA"/>
    <w:rsid w:val="00130AF6"/>
    <w:rsid w:val="00131CD5"/>
    <w:rsid w:val="001336DD"/>
    <w:rsid w:val="00133949"/>
    <w:rsid w:val="00133954"/>
    <w:rsid w:val="0013423B"/>
    <w:rsid w:val="00134AB7"/>
    <w:rsid w:val="00134AC8"/>
    <w:rsid w:val="0013608F"/>
    <w:rsid w:val="0013612D"/>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7731A"/>
    <w:rsid w:val="001815C6"/>
    <w:rsid w:val="00181D85"/>
    <w:rsid w:val="001829CC"/>
    <w:rsid w:val="00183014"/>
    <w:rsid w:val="0018416A"/>
    <w:rsid w:val="001843A5"/>
    <w:rsid w:val="00185735"/>
    <w:rsid w:val="00185A57"/>
    <w:rsid w:val="00185BF4"/>
    <w:rsid w:val="00190C46"/>
    <w:rsid w:val="001911A2"/>
    <w:rsid w:val="001A01B7"/>
    <w:rsid w:val="001A047C"/>
    <w:rsid w:val="001A094B"/>
    <w:rsid w:val="001A0F88"/>
    <w:rsid w:val="001A26AE"/>
    <w:rsid w:val="001A27B9"/>
    <w:rsid w:val="001A394A"/>
    <w:rsid w:val="001A4944"/>
    <w:rsid w:val="001A5260"/>
    <w:rsid w:val="001A5FEE"/>
    <w:rsid w:val="001A6CBA"/>
    <w:rsid w:val="001B0F45"/>
    <w:rsid w:val="001B1EBA"/>
    <w:rsid w:val="001B2ED3"/>
    <w:rsid w:val="001B3983"/>
    <w:rsid w:val="001B3A63"/>
    <w:rsid w:val="001B3C92"/>
    <w:rsid w:val="001B4D63"/>
    <w:rsid w:val="001B66D3"/>
    <w:rsid w:val="001B73D0"/>
    <w:rsid w:val="001B7D82"/>
    <w:rsid w:val="001C1D04"/>
    <w:rsid w:val="001C3198"/>
    <w:rsid w:val="001C6F15"/>
    <w:rsid w:val="001C71ED"/>
    <w:rsid w:val="001D1A3E"/>
    <w:rsid w:val="001D27AD"/>
    <w:rsid w:val="001D31CD"/>
    <w:rsid w:val="001D3482"/>
    <w:rsid w:val="001D3E97"/>
    <w:rsid w:val="001D424D"/>
    <w:rsid w:val="001D453E"/>
    <w:rsid w:val="001D5BDC"/>
    <w:rsid w:val="001D655E"/>
    <w:rsid w:val="001D7951"/>
    <w:rsid w:val="001E2A19"/>
    <w:rsid w:val="001E4343"/>
    <w:rsid w:val="001E514F"/>
    <w:rsid w:val="001E633E"/>
    <w:rsid w:val="001E6729"/>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27851"/>
    <w:rsid w:val="00231785"/>
    <w:rsid w:val="00233C1F"/>
    <w:rsid w:val="00235617"/>
    <w:rsid w:val="00235890"/>
    <w:rsid w:val="0023715B"/>
    <w:rsid w:val="00237D4F"/>
    <w:rsid w:val="00240D77"/>
    <w:rsid w:val="0024330A"/>
    <w:rsid w:val="00243742"/>
    <w:rsid w:val="00244DE4"/>
    <w:rsid w:val="00244F6E"/>
    <w:rsid w:val="00245631"/>
    <w:rsid w:val="00245696"/>
    <w:rsid w:val="00247ECF"/>
    <w:rsid w:val="00250230"/>
    <w:rsid w:val="002509E9"/>
    <w:rsid w:val="0025100C"/>
    <w:rsid w:val="0025111A"/>
    <w:rsid w:val="0025167A"/>
    <w:rsid w:val="00253091"/>
    <w:rsid w:val="0025433A"/>
    <w:rsid w:val="0025440E"/>
    <w:rsid w:val="00257B73"/>
    <w:rsid w:val="00262862"/>
    <w:rsid w:val="00262AD0"/>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0CB3"/>
    <w:rsid w:val="00291DE8"/>
    <w:rsid w:val="00292521"/>
    <w:rsid w:val="002928B6"/>
    <w:rsid w:val="00295BB2"/>
    <w:rsid w:val="002964C2"/>
    <w:rsid w:val="00297957"/>
    <w:rsid w:val="00297C8D"/>
    <w:rsid w:val="002A14DE"/>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9B0"/>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3138"/>
    <w:rsid w:val="00353F49"/>
    <w:rsid w:val="003541A6"/>
    <w:rsid w:val="00354469"/>
    <w:rsid w:val="00357B76"/>
    <w:rsid w:val="00361381"/>
    <w:rsid w:val="00362688"/>
    <w:rsid w:val="00362C9A"/>
    <w:rsid w:val="003648A3"/>
    <w:rsid w:val="0036580E"/>
    <w:rsid w:val="00371D52"/>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A52F4"/>
    <w:rsid w:val="003B0FB0"/>
    <w:rsid w:val="003B4163"/>
    <w:rsid w:val="003B5121"/>
    <w:rsid w:val="003B60F6"/>
    <w:rsid w:val="003B7E35"/>
    <w:rsid w:val="003B7E5D"/>
    <w:rsid w:val="003C0226"/>
    <w:rsid w:val="003C2CC3"/>
    <w:rsid w:val="003C3895"/>
    <w:rsid w:val="003C3ACB"/>
    <w:rsid w:val="003C437E"/>
    <w:rsid w:val="003C48F5"/>
    <w:rsid w:val="003C4CA0"/>
    <w:rsid w:val="003C6CEC"/>
    <w:rsid w:val="003C6D31"/>
    <w:rsid w:val="003D1337"/>
    <w:rsid w:val="003D2D84"/>
    <w:rsid w:val="003D49CF"/>
    <w:rsid w:val="003D67F9"/>
    <w:rsid w:val="003E15BB"/>
    <w:rsid w:val="003E421E"/>
    <w:rsid w:val="003E6101"/>
    <w:rsid w:val="003E7D3A"/>
    <w:rsid w:val="003F1718"/>
    <w:rsid w:val="003F27BE"/>
    <w:rsid w:val="003F424A"/>
    <w:rsid w:val="003F4841"/>
    <w:rsid w:val="003F508E"/>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241A"/>
    <w:rsid w:val="004364EF"/>
    <w:rsid w:val="00436E7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31E1"/>
    <w:rsid w:val="004B4DDF"/>
    <w:rsid w:val="004B5364"/>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067"/>
    <w:rsid w:val="0051129F"/>
    <w:rsid w:val="00512D5A"/>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8D2"/>
    <w:rsid w:val="00556D6F"/>
    <w:rsid w:val="00557B55"/>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2B0B"/>
    <w:rsid w:val="0058331B"/>
    <w:rsid w:val="005842C8"/>
    <w:rsid w:val="00584671"/>
    <w:rsid w:val="00585306"/>
    <w:rsid w:val="00586BAC"/>
    <w:rsid w:val="00595815"/>
    <w:rsid w:val="00595F7D"/>
    <w:rsid w:val="005A0EF2"/>
    <w:rsid w:val="005A1C5C"/>
    <w:rsid w:val="005A385C"/>
    <w:rsid w:val="005A3AF1"/>
    <w:rsid w:val="005A547A"/>
    <w:rsid w:val="005A69F5"/>
    <w:rsid w:val="005B20DC"/>
    <w:rsid w:val="005B32F7"/>
    <w:rsid w:val="005B4571"/>
    <w:rsid w:val="005B4A7B"/>
    <w:rsid w:val="005B5FA4"/>
    <w:rsid w:val="005B6253"/>
    <w:rsid w:val="005B7182"/>
    <w:rsid w:val="005B7E20"/>
    <w:rsid w:val="005C0BB3"/>
    <w:rsid w:val="005C0E4F"/>
    <w:rsid w:val="005C14CA"/>
    <w:rsid w:val="005C289B"/>
    <w:rsid w:val="005C2D24"/>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478B"/>
    <w:rsid w:val="00637934"/>
    <w:rsid w:val="00640526"/>
    <w:rsid w:val="00643FC1"/>
    <w:rsid w:val="0064609C"/>
    <w:rsid w:val="00646159"/>
    <w:rsid w:val="0065091E"/>
    <w:rsid w:val="0065410C"/>
    <w:rsid w:val="00656705"/>
    <w:rsid w:val="00657172"/>
    <w:rsid w:val="00661F4E"/>
    <w:rsid w:val="00662EE3"/>
    <w:rsid w:val="00663AA8"/>
    <w:rsid w:val="006641C6"/>
    <w:rsid w:val="00671163"/>
    <w:rsid w:val="00672B4B"/>
    <w:rsid w:val="006734B6"/>
    <w:rsid w:val="00674A5E"/>
    <w:rsid w:val="00676025"/>
    <w:rsid w:val="00676B66"/>
    <w:rsid w:val="00676E6A"/>
    <w:rsid w:val="00680488"/>
    <w:rsid w:val="00680D4A"/>
    <w:rsid w:val="00681C9A"/>
    <w:rsid w:val="006830A7"/>
    <w:rsid w:val="0068517B"/>
    <w:rsid w:val="00685E0A"/>
    <w:rsid w:val="00686A8D"/>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5EB"/>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4A4A"/>
    <w:rsid w:val="006E617D"/>
    <w:rsid w:val="006F0C58"/>
    <w:rsid w:val="006F0D27"/>
    <w:rsid w:val="006F3DD6"/>
    <w:rsid w:val="006F4EC3"/>
    <w:rsid w:val="007002F8"/>
    <w:rsid w:val="00701063"/>
    <w:rsid w:val="007019CE"/>
    <w:rsid w:val="007068EF"/>
    <w:rsid w:val="007118A0"/>
    <w:rsid w:val="007135C1"/>
    <w:rsid w:val="00713A45"/>
    <w:rsid w:val="007142D3"/>
    <w:rsid w:val="007144AE"/>
    <w:rsid w:val="00714EB0"/>
    <w:rsid w:val="00715636"/>
    <w:rsid w:val="00715818"/>
    <w:rsid w:val="00715BD2"/>
    <w:rsid w:val="007161DB"/>
    <w:rsid w:val="0071628A"/>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2047"/>
    <w:rsid w:val="0078338B"/>
    <w:rsid w:val="00783885"/>
    <w:rsid w:val="00784021"/>
    <w:rsid w:val="007855E9"/>
    <w:rsid w:val="0079051E"/>
    <w:rsid w:val="00791F68"/>
    <w:rsid w:val="0079224F"/>
    <w:rsid w:val="00797332"/>
    <w:rsid w:val="007975F9"/>
    <w:rsid w:val="00797765"/>
    <w:rsid w:val="007A1ECE"/>
    <w:rsid w:val="007A24DE"/>
    <w:rsid w:val="007A50AA"/>
    <w:rsid w:val="007A5699"/>
    <w:rsid w:val="007A5E0C"/>
    <w:rsid w:val="007A6D1D"/>
    <w:rsid w:val="007B5445"/>
    <w:rsid w:val="007B6287"/>
    <w:rsid w:val="007B7C37"/>
    <w:rsid w:val="007C2AF9"/>
    <w:rsid w:val="007C779C"/>
    <w:rsid w:val="007C78C3"/>
    <w:rsid w:val="007C7FFE"/>
    <w:rsid w:val="007D1751"/>
    <w:rsid w:val="007D43F3"/>
    <w:rsid w:val="007D5B0A"/>
    <w:rsid w:val="007D7EC5"/>
    <w:rsid w:val="007E050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6876"/>
    <w:rsid w:val="008168B2"/>
    <w:rsid w:val="00816BF4"/>
    <w:rsid w:val="00816E69"/>
    <w:rsid w:val="00820808"/>
    <w:rsid w:val="00820CB7"/>
    <w:rsid w:val="00821244"/>
    <w:rsid w:val="008212C3"/>
    <w:rsid w:val="0082359E"/>
    <w:rsid w:val="00823846"/>
    <w:rsid w:val="00823A72"/>
    <w:rsid w:val="00826733"/>
    <w:rsid w:val="00826956"/>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777E1"/>
    <w:rsid w:val="008848CF"/>
    <w:rsid w:val="0088505F"/>
    <w:rsid w:val="00886B27"/>
    <w:rsid w:val="00887843"/>
    <w:rsid w:val="00890183"/>
    <w:rsid w:val="008906CF"/>
    <w:rsid w:val="00891B8A"/>
    <w:rsid w:val="0089362E"/>
    <w:rsid w:val="0089373E"/>
    <w:rsid w:val="008938E4"/>
    <w:rsid w:val="0089561D"/>
    <w:rsid w:val="00896FB5"/>
    <w:rsid w:val="0089778B"/>
    <w:rsid w:val="008A0271"/>
    <w:rsid w:val="008A087A"/>
    <w:rsid w:val="008A1449"/>
    <w:rsid w:val="008A2036"/>
    <w:rsid w:val="008A2EA0"/>
    <w:rsid w:val="008A58B5"/>
    <w:rsid w:val="008A6397"/>
    <w:rsid w:val="008B0F34"/>
    <w:rsid w:val="008B1350"/>
    <w:rsid w:val="008B1BD6"/>
    <w:rsid w:val="008B338D"/>
    <w:rsid w:val="008B3523"/>
    <w:rsid w:val="008B3DD1"/>
    <w:rsid w:val="008B40D3"/>
    <w:rsid w:val="008B69E5"/>
    <w:rsid w:val="008B78F2"/>
    <w:rsid w:val="008B7DC3"/>
    <w:rsid w:val="008C1AFF"/>
    <w:rsid w:val="008C78D7"/>
    <w:rsid w:val="008D0314"/>
    <w:rsid w:val="008D1842"/>
    <w:rsid w:val="008D1C92"/>
    <w:rsid w:val="008D20CC"/>
    <w:rsid w:val="008D313B"/>
    <w:rsid w:val="008D4A31"/>
    <w:rsid w:val="008E0CE0"/>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5FF9"/>
    <w:rsid w:val="00936D5F"/>
    <w:rsid w:val="00937474"/>
    <w:rsid w:val="00941ADA"/>
    <w:rsid w:val="009422C7"/>
    <w:rsid w:val="0094281C"/>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8F4"/>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C7108"/>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0ED5"/>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176F0"/>
    <w:rsid w:val="00A203C5"/>
    <w:rsid w:val="00A2093C"/>
    <w:rsid w:val="00A20942"/>
    <w:rsid w:val="00A211F5"/>
    <w:rsid w:val="00A23B0E"/>
    <w:rsid w:val="00A26F11"/>
    <w:rsid w:val="00A3125B"/>
    <w:rsid w:val="00A31919"/>
    <w:rsid w:val="00A334BF"/>
    <w:rsid w:val="00A33A9D"/>
    <w:rsid w:val="00A34073"/>
    <w:rsid w:val="00A35AEA"/>
    <w:rsid w:val="00A37284"/>
    <w:rsid w:val="00A375CF"/>
    <w:rsid w:val="00A435EC"/>
    <w:rsid w:val="00A44453"/>
    <w:rsid w:val="00A44EA1"/>
    <w:rsid w:val="00A52105"/>
    <w:rsid w:val="00A5258A"/>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762BB"/>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96F"/>
    <w:rsid w:val="00AA7D7F"/>
    <w:rsid w:val="00AB08AC"/>
    <w:rsid w:val="00AB2036"/>
    <w:rsid w:val="00AB21FA"/>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B12"/>
    <w:rsid w:val="00AF1C42"/>
    <w:rsid w:val="00AF1FC9"/>
    <w:rsid w:val="00AF5869"/>
    <w:rsid w:val="00AF5D65"/>
    <w:rsid w:val="00B02DA0"/>
    <w:rsid w:val="00B054BC"/>
    <w:rsid w:val="00B06957"/>
    <w:rsid w:val="00B07E78"/>
    <w:rsid w:val="00B1024A"/>
    <w:rsid w:val="00B110E8"/>
    <w:rsid w:val="00B11522"/>
    <w:rsid w:val="00B125D8"/>
    <w:rsid w:val="00B146FE"/>
    <w:rsid w:val="00B21CCF"/>
    <w:rsid w:val="00B22135"/>
    <w:rsid w:val="00B22E66"/>
    <w:rsid w:val="00B23E39"/>
    <w:rsid w:val="00B24007"/>
    <w:rsid w:val="00B25345"/>
    <w:rsid w:val="00B25D31"/>
    <w:rsid w:val="00B2608E"/>
    <w:rsid w:val="00B30486"/>
    <w:rsid w:val="00B30DF1"/>
    <w:rsid w:val="00B30E38"/>
    <w:rsid w:val="00B319BE"/>
    <w:rsid w:val="00B3382F"/>
    <w:rsid w:val="00B34019"/>
    <w:rsid w:val="00B35DCA"/>
    <w:rsid w:val="00B4053D"/>
    <w:rsid w:val="00B44863"/>
    <w:rsid w:val="00B46120"/>
    <w:rsid w:val="00B47AA5"/>
    <w:rsid w:val="00B501C0"/>
    <w:rsid w:val="00B50CE1"/>
    <w:rsid w:val="00B514CA"/>
    <w:rsid w:val="00B5477E"/>
    <w:rsid w:val="00B550C0"/>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05E8"/>
    <w:rsid w:val="00BC112E"/>
    <w:rsid w:val="00BC2DBE"/>
    <w:rsid w:val="00BC63AF"/>
    <w:rsid w:val="00BD1C22"/>
    <w:rsid w:val="00BD35BC"/>
    <w:rsid w:val="00BD385E"/>
    <w:rsid w:val="00BE0230"/>
    <w:rsid w:val="00BE05DE"/>
    <w:rsid w:val="00BE3898"/>
    <w:rsid w:val="00BE5867"/>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4EA9"/>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5A5F"/>
    <w:rsid w:val="00C76DF5"/>
    <w:rsid w:val="00C76E37"/>
    <w:rsid w:val="00C82BAF"/>
    <w:rsid w:val="00C901E8"/>
    <w:rsid w:val="00C91878"/>
    <w:rsid w:val="00C931DA"/>
    <w:rsid w:val="00C9372B"/>
    <w:rsid w:val="00C93AC2"/>
    <w:rsid w:val="00C94CFC"/>
    <w:rsid w:val="00C96316"/>
    <w:rsid w:val="00CA0300"/>
    <w:rsid w:val="00CA5C0C"/>
    <w:rsid w:val="00CA620A"/>
    <w:rsid w:val="00CA6B85"/>
    <w:rsid w:val="00CB06DC"/>
    <w:rsid w:val="00CB06DD"/>
    <w:rsid w:val="00CB18CD"/>
    <w:rsid w:val="00CB1A89"/>
    <w:rsid w:val="00CB24D2"/>
    <w:rsid w:val="00CB26EC"/>
    <w:rsid w:val="00CB2F86"/>
    <w:rsid w:val="00CB34E0"/>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0C0A"/>
    <w:rsid w:val="00CF2155"/>
    <w:rsid w:val="00CF3387"/>
    <w:rsid w:val="00CF3A26"/>
    <w:rsid w:val="00CF3A87"/>
    <w:rsid w:val="00CF437F"/>
    <w:rsid w:val="00CF462B"/>
    <w:rsid w:val="00CF513B"/>
    <w:rsid w:val="00CF5F2B"/>
    <w:rsid w:val="00CF652C"/>
    <w:rsid w:val="00D00A65"/>
    <w:rsid w:val="00D01A57"/>
    <w:rsid w:val="00D01DF4"/>
    <w:rsid w:val="00D01F85"/>
    <w:rsid w:val="00D03381"/>
    <w:rsid w:val="00D043F0"/>
    <w:rsid w:val="00D05E4A"/>
    <w:rsid w:val="00D106FE"/>
    <w:rsid w:val="00D10C22"/>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27DB"/>
    <w:rsid w:val="00D53686"/>
    <w:rsid w:val="00D537BF"/>
    <w:rsid w:val="00D53EA2"/>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07DB"/>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6675"/>
    <w:rsid w:val="00DE741D"/>
    <w:rsid w:val="00DE74D7"/>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02B3"/>
    <w:rsid w:val="00E21A05"/>
    <w:rsid w:val="00E24698"/>
    <w:rsid w:val="00E25B6F"/>
    <w:rsid w:val="00E25DD3"/>
    <w:rsid w:val="00E2708F"/>
    <w:rsid w:val="00E2716E"/>
    <w:rsid w:val="00E278BF"/>
    <w:rsid w:val="00E27F67"/>
    <w:rsid w:val="00E30823"/>
    <w:rsid w:val="00E33878"/>
    <w:rsid w:val="00E352D8"/>
    <w:rsid w:val="00E356A2"/>
    <w:rsid w:val="00E368C4"/>
    <w:rsid w:val="00E4080A"/>
    <w:rsid w:val="00E448D1"/>
    <w:rsid w:val="00E452BB"/>
    <w:rsid w:val="00E465D2"/>
    <w:rsid w:val="00E46BEB"/>
    <w:rsid w:val="00E46CFF"/>
    <w:rsid w:val="00E51C50"/>
    <w:rsid w:val="00E544ED"/>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D7"/>
    <w:rsid w:val="00E914E7"/>
    <w:rsid w:val="00E91F7C"/>
    <w:rsid w:val="00E92105"/>
    <w:rsid w:val="00E931EB"/>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0515"/>
    <w:rsid w:val="00ED1411"/>
    <w:rsid w:val="00ED19E4"/>
    <w:rsid w:val="00ED1C87"/>
    <w:rsid w:val="00ED2210"/>
    <w:rsid w:val="00ED308A"/>
    <w:rsid w:val="00ED326E"/>
    <w:rsid w:val="00ED4B11"/>
    <w:rsid w:val="00ED596F"/>
    <w:rsid w:val="00ED606C"/>
    <w:rsid w:val="00ED654B"/>
    <w:rsid w:val="00EE0B76"/>
    <w:rsid w:val="00EE2338"/>
    <w:rsid w:val="00EE50D5"/>
    <w:rsid w:val="00EE50E9"/>
    <w:rsid w:val="00EE55C4"/>
    <w:rsid w:val="00EE618E"/>
    <w:rsid w:val="00EF02D4"/>
    <w:rsid w:val="00EF3E90"/>
    <w:rsid w:val="00EF509A"/>
    <w:rsid w:val="00EF70B7"/>
    <w:rsid w:val="00F01FED"/>
    <w:rsid w:val="00F0233A"/>
    <w:rsid w:val="00F03937"/>
    <w:rsid w:val="00F0436E"/>
    <w:rsid w:val="00F0470C"/>
    <w:rsid w:val="00F04D85"/>
    <w:rsid w:val="00F072DE"/>
    <w:rsid w:val="00F07726"/>
    <w:rsid w:val="00F10481"/>
    <w:rsid w:val="00F110C3"/>
    <w:rsid w:val="00F1393C"/>
    <w:rsid w:val="00F1405F"/>
    <w:rsid w:val="00F15C1D"/>
    <w:rsid w:val="00F15F68"/>
    <w:rsid w:val="00F16F7F"/>
    <w:rsid w:val="00F21393"/>
    <w:rsid w:val="00F23418"/>
    <w:rsid w:val="00F2373A"/>
    <w:rsid w:val="00F23A20"/>
    <w:rsid w:val="00F23C93"/>
    <w:rsid w:val="00F258DA"/>
    <w:rsid w:val="00F2598B"/>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E37"/>
    <w:rsid w:val="00F54387"/>
    <w:rsid w:val="00F56B9E"/>
    <w:rsid w:val="00F61118"/>
    <w:rsid w:val="00F636E3"/>
    <w:rsid w:val="00F64B7C"/>
    <w:rsid w:val="00F67E86"/>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29A1"/>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0F6"/>
    <w:rsid w:val="00FD224C"/>
    <w:rsid w:val="00FD4084"/>
    <w:rsid w:val="00FD44FD"/>
    <w:rsid w:val="00FD450C"/>
    <w:rsid w:val="00FE192B"/>
    <w:rsid w:val="00FE1D95"/>
    <w:rsid w:val="00FE31EE"/>
    <w:rsid w:val="00FE4DA2"/>
    <w:rsid w:val="00FF1901"/>
    <w:rsid w:val="00FF2E18"/>
    <w:rsid w:val="00FF3B0C"/>
    <w:rsid w:val="00FF6584"/>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59"/>
    <w:rsid w:val="00073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E74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7142627">
      <w:bodyDiv w:val="1"/>
      <w:marLeft w:val="0"/>
      <w:marRight w:val="0"/>
      <w:marTop w:val="0"/>
      <w:marBottom w:val="0"/>
      <w:divBdr>
        <w:top w:val="none" w:sz="0" w:space="0" w:color="auto"/>
        <w:left w:val="none" w:sz="0" w:space="0" w:color="auto"/>
        <w:bottom w:val="none" w:sz="0" w:space="0" w:color="auto"/>
        <w:right w:val="none" w:sz="0" w:space="0" w:color="auto"/>
      </w:divBdr>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62151004">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695689577">
      <w:bodyDiv w:val="1"/>
      <w:marLeft w:val="0"/>
      <w:marRight w:val="0"/>
      <w:marTop w:val="0"/>
      <w:marBottom w:val="0"/>
      <w:divBdr>
        <w:top w:val="none" w:sz="0" w:space="0" w:color="auto"/>
        <w:left w:val="none" w:sz="0" w:space="0" w:color="auto"/>
        <w:bottom w:val="none" w:sz="0" w:space="0" w:color="auto"/>
        <w:right w:val="none" w:sz="0" w:space="0" w:color="auto"/>
      </w:divBdr>
    </w:div>
    <w:div w:id="1699352123">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2DF54-44B9-4B14-BB31-97E110CB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68433</TotalTime>
  <Pages>15</Pages>
  <Words>5401</Words>
  <Characters>30375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35705</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419</cp:revision>
  <cp:lastPrinted>2025-06-12T11:16:00Z</cp:lastPrinted>
  <dcterms:created xsi:type="dcterms:W3CDTF">2024-03-04T17:18:00Z</dcterms:created>
  <dcterms:modified xsi:type="dcterms:W3CDTF">2025-12-01T11:09:00Z</dcterms:modified>
</cp:coreProperties>
</file>