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0D2DC7C9" w14:textId="77777777" w:rsidR="0067169F" w:rsidRPr="0067169F" w:rsidRDefault="0067169F" w:rsidP="0067169F">
      <w:pPr>
        <w:spacing w:line="360" w:lineRule="auto"/>
        <w:jc w:val="both"/>
        <w:rPr>
          <w:rFonts w:ascii="Times New Roman" w:hAnsi="Times New Roman" w:cs="Times New Roman"/>
          <w:b/>
          <w:bCs/>
          <w:lang w:val="pt-BR"/>
        </w:rPr>
      </w:pPr>
      <w:bookmarkStart w:id="0" w:name="_Hlk172884495"/>
      <w:bookmarkStart w:id="1" w:name="_Hlk189475685"/>
      <w:r w:rsidRPr="0067169F">
        <w:rPr>
          <w:rFonts w:ascii="Times New Roman" w:hAnsi="Times New Roman" w:cs="Times New Roman"/>
          <w:b/>
          <w:bCs/>
          <w:lang w:val="pt-BR"/>
        </w:rPr>
        <w:t>Processo Licitatório nº 084/2025</w:t>
      </w:r>
    </w:p>
    <w:bookmarkEnd w:id="0"/>
    <w:p w14:paraId="30562DFB" w14:textId="77777777" w:rsidR="0067169F" w:rsidRPr="0067169F" w:rsidRDefault="0067169F" w:rsidP="0067169F">
      <w:pPr>
        <w:spacing w:line="360" w:lineRule="auto"/>
        <w:jc w:val="both"/>
        <w:rPr>
          <w:rFonts w:ascii="Times New Roman" w:hAnsi="Times New Roman" w:cs="Times New Roman"/>
          <w:b/>
          <w:bCs/>
          <w:lang w:val="pt-BR"/>
        </w:rPr>
      </w:pPr>
      <w:r w:rsidRPr="0067169F">
        <w:rPr>
          <w:rFonts w:ascii="Times New Roman" w:hAnsi="Times New Roman" w:cs="Times New Roman"/>
          <w:b/>
          <w:bCs/>
          <w:lang w:val="pt-BR"/>
        </w:rPr>
        <w:t>Inexigibilidade de Licitação nº 035/2025</w:t>
      </w:r>
    </w:p>
    <w:p w14:paraId="752EC65B" w14:textId="77777777" w:rsidR="0067169F" w:rsidRPr="0067169F" w:rsidRDefault="0067169F" w:rsidP="0067169F">
      <w:pPr>
        <w:spacing w:line="360" w:lineRule="auto"/>
        <w:jc w:val="both"/>
        <w:rPr>
          <w:rFonts w:ascii="Times New Roman" w:hAnsi="Times New Roman" w:cs="Times New Roman"/>
          <w:b/>
          <w:bCs/>
          <w:lang w:val="pt-BR"/>
        </w:rPr>
      </w:pPr>
      <w:r w:rsidRPr="0067169F">
        <w:rPr>
          <w:rFonts w:ascii="Times New Roman" w:hAnsi="Times New Roman" w:cs="Times New Roman"/>
          <w:b/>
          <w:bCs/>
          <w:lang w:val="pt-BR"/>
        </w:rPr>
        <w:t xml:space="preserve">Credenciamento nº </w:t>
      </w:r>
      <w:bookmarkEnd w:id="1"/>
      <w:r w:rsidRPr="0067169F">
        <w:rPr>
          <w:rFonts w:ascii="Times New Roman" w:hAnsi="Times New Roman" w:cs="Times New Roman"/>
          <w:b/>
          <w:bCs/>
          <w:lang w:val="pt-BR"/>
        </w:rPr>
        <w:t>015/2025</w:t>
      </w:r>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75B2C567"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___/202</w:t>
      </w:r>
      <w:r w:rsidR="00275D24">
        <w:rPr>
          <w:rFonts w:ascii="Times New Roman" w:hAnsi="Times New Roman" w:cs="Times New Roman"/>
        </w:rPr>
        <w:t>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w:t>
      </w:r>
      <w:r w:rsidR="00275D24">
        <w:rPr>
          <w:rFonts w:ascii="Times New Roman" w:hAnsi="Times New Roman" w:cs="Times New Roman"/>
        </w:rPr>
        <w:t>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664BEAAA" w14:textId="77777777" w:rsidR="00C24613" w:rsidRPr="00DD3A67" w:rsidRDefault="00C24613"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2C4F8BD5"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w:t>
      </w:r>
      <w:r w:rsidR="0067169F">
        <w:rPr>
          <w:rFonts w:ascii="Times New Roman" w:hAnsi="Times New Roman" w:cs="Times New Roman"/>
        </w:rPr>
        <w:t>.</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Caso a notificação da não-continuidade do Termo de Credenciamento de que trata este subitem ocorra com menos de 2 (dois) meses da data de aniversário, a extinção contratual ocorrerá após 2 (dois) meses </w:t>
      </w:r>
      <w:r w:rsidRPr="000F22CE">
        <w:rPr>
          <w:rFonts w:ascii="Times New Roman" w:hAnsi="Times New Roman" w:cs="Times New Roman"/>
        </w:rPr>
        <w:t>da data da comunicação.</w:t>
      </w:r>
    </w:p>
    <w:p w14:paraId="55D30F95" w14:textId="77777777" w:rsidR="00844BA4" w:rsidRPr="000F22CE"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Nesta hipótese, aplicam-se também os artigos 138 e 139 da mesma Lei.</w:t>
      </w:r>
    </w:p>
    <w:p w14:paraId="13F136A9"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0F22CE"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O termo de rescisão, sempre que possível, será precedido:</w:t>
      </w:r>
    </w:p>
    <w:p w14:paraId="1803FFF0"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Balanço dos eventos contratuais já cumpridos ou parcialmente cumpridos;</w:t>
      </w:r>
    </w:p>
    <w:p w14:paraId="51CFDF47" w14:textId="77777777" w:rsidR="00844BA4"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Relação dos pagamentos já efetuados e ainda devidos;</w:t>
      </w:r>
    </w:p>
    <w:p w14:paraId="4C794A61" w14:textId="0B803DCF" w:rsidR="009F77E2" w:rsidRPr="000F22CE"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0F22CE">
        <w:rPr>
          <w:rFonts w:ascii="Times New Roman" w:hAnsi="Times New Roman" w:cs="Times New Roman"/>
        </w:rPr>
        <w:t>Indenizações e multas.</w:t>
      </w:r>
    </w:p>
    <w:p w14:paraId="55549828" w14:textId="6DA03DFC" w:rsidR="001A0FE4" w:rsidRPr="000F22CE" w:rsidRDefault="00E3350E" w:rsidP="00DD3A67">
      <w:pPr>
        <w:pStyle w:val="PargrafodaLista"/>
        <w:spacing w:line="360" w:lineRule="auto"/>
        <w:ind w:left="0"/>
        <w:jc w:val="both"/>
        <w:rPr>
          <w:rFonts w:ascii="Times New Roman" w:hAnsi="Times New Roman" w:cs="Times New Roman"/>
          <w:b/>
          <w:lang w:val="pt-BR"/>
        </w:rPr>
      </w:pPr>
      <w:r w:rsidRPr="000F22CE">
        <w:rPr>
          <w:rFonts w:ascii="Times New Roman" w:hAnsi="Times New Roman" w:cs="Times New Roman"/>
          <w:b/>
          <w:lang w:val="pt-BR"/>
        </w:rPr>
        <w:t>CLÁUSULA DÉC</w:t>
      </w:r>
      <w:bookmarkStart w:id="2" w:name="_GoBack"/>
      <w:bookmarkEnd w:id="2"/>
      <w:r w:rsidRPr="000F22CE">
        <w:rPr>
          <w:rFonts w:ascii="Times New Roman" w:hAnsi="Times New Roman" w:cs="Times New Roman"/>
          <w:b/>
          <w:lang w:val="pt-BR"/>
        </w:rPr>
        <w:t xml:space="preserve">IMA TERCEIRA – DOTAÇÃO ORÇAMENTÁRIA </w:t>
      </w:r>
    </w:p>
    <w:p w14:paraId="295E086E" w14:textId="198EDA6A" w:rsidR="001A0FE4" w:rsidRPr="000F22CE"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0F22CE">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2F29D91E" w14:textId="77777777" w:rsidR="000F22CE" w:rsidRPr="000F22CE" w:rsidRDefault="000F22CE" w:rsidP="000F22CE">
      <w:pPr>
        <w:spacing w:line="360" w:lineRule="auto"/>
        <w:jc w:val="both"/>
        <w:rPr>
          <w:rFonts w:ascii="Times New Roman" w:hAnsi="Times New Roman" w:cs="Times New Roman"/>
          <w:iCs/>
          <w:color w:val="000000" w:themeColor="text1"/>
        </w:rPr>
      </w:pPr>
      <w:bookmarkStart w:id="3" w:name="_Hlk170822443"/>
      <w:bookmarkStart w:id="4" w:name="_Hlk167688817"/>
      <w:bookmarkStart w:id="5" w:name="_Hlk169785025"/>
      <w:r w:rsidRPr="000F22CE">
        <w:rPr>
          <w:rFonts w:ascii="Times New Roman" w:hAnsi="Times New Roman" w:cs="Times New Roman"/>
          <w:iCs/>
          <w:color w:val="000000" w:themeColor="text1"/>
        </w:rPr>
        <w:t>Órgão: 02 PODER EXECUTIVO</w:t>
      </w:r>
    </w:p>
    <w:p w14:paraId="737B0FFD" w14:textId="77777777" w:rsidR="000F22CE" w:rsidRPr="000F22CE" w:rsidRDefault="000F22CE" w:rsidP="000F22CE">
      <w:pPr>
        <w:spacing w:line="360" w:lineRule="auto"/>
        <w:jc w:val="both"/>
        <w:rPr>
          <w:rFonts w:ascii="Times New Roman" w:hAnsi="Times New Roman" w:cs="Times New Roman"/>
          <w:iCs/>
          <w:color w:val="000000" w:themeColor="text1"/>
        </w:rPr>
      </w:pPr>
      <w:r w:rsidRPr="000F22CE">
        <w:rPr>
          <w:rFonts w:ascii="Times New Roman" w:hAnsi="Times New Roman" w:cs="Times New Roman"/>
          <w:iCs/>
          <w:color w:val="000000" w:themeColor="text1"/>
        </w:rPr>
        <w:t>Unidade: 02.13 SECRETARIA DE TRANSPORTES</w:t>
      </w:r>
    </w:p>
    <w:p w14:paraId="532150AC" w14:textId="77777777" w:rsidR="000F22CE" w:rsidRPr="000F22CE" w:rsidRDefault="000F22CE" w:rsidP="000F22CE">
      <w:pPr>
        <w:spacing w:line="360" w:lineRule="auto"/>
        <w:jc w:val="both"/>
        <w:rPr>
          <w:rFonts w:ascii="Times New Roman" w:hAnsi="Times New Roman" w:cs="Times New Roman"/>
          <w:bCs/>
          <w:iCs/>
          <w:color w:val="000000" w:themeColor="text1"/>
        </w:rPr>
      </w:pPr>
      <w:r w:rsidRPr="000F22CE">
        <w:rPr>
          <w:rFonts w:ascii="Times New Roman" w:hAnsi="Times New Roman" w:cs="Times New Roman"/>
          <w:bCs/>
          <w:iCs/>
          <w:color w:val="000000" w:themeColor="text1"/>
        </w:rPr>
        <w:t>Sub - Unidade: 02.13.02 DIVISÃO CONTROLE E MANUTENÇÃO DA FROTA</w:t>
      </w:r>
    </w:p>
    <w:p w14:paraId="4020C8C0" w14:textId="77777777" w:rsidR="000F22CE" w:rsidRPr="000F22CE" w:rsidRDefault="000F22CE" w:rsidP="000F22CE">
      <w:pPr>
        <w:spacing w:line="360" w:lineRule="auto"/>
        <w:jc w:val="both"/>
        <w:rPr>
          <w:rFonts w:ascii="Times New Roman" w:hAnsi="Times New Roman" w:cs="Times New Roman"/>
          <w:bCs/>
          <w:iCs/>
          <w:color w:val="000000" w:themeColor="text1"/>
        </w:rPr>
      </w:pPr>
      <w:r w:rsidRPr="000F22CE">
        <w:rPr>
          <w:rFonts w:ascii="Times New Roman" w:hAnsi="Times New Roman" w:cs="Times New Roman"/>
          <w:bCs/>
          <w:iCs/>
          <w:color w:val="000000" w:themeColor="text1"/>
        </w:rPr>
        <w:t>Funcional Programática: 26.782.0013.4102 Ativ.da Div.de Controle e Manut.da Frota</w:t>
      </w:r>
    </w:p>
    <w:p w14:paraId="44C247AA" w14:textId="77777777" w:rsidR="000F22CE" w:rsidRPr="000F22CE" w:rsidRDefault="000F22CE" w:rsidP="000F22CE">
      <w:pPr>
        <w:spacing w:line="360" w:lineRule="auto"/>
        <w:jc w:val="both"/>
        <w:rPr>
          <w:rFonts w:ascii="Times New Roman" w:hAnsi="Times New Roman" w:cs="Times New Roman"/>
          <w:bCs/>
          <w:iCs/>
          <w:color w:val="000000" w:themeColor="text1"/>
        </w:rPr>
      </w:pPr>
      <w:r w:rsidRPr="000F22CE">
        <w:rPr>
          <w:rFonts w:ascii="Times New Roman" w:hAnsi="Times New Roman" w:cs="Times New Roman"/>
          <w:bCs/>
          <w:iCs/>
          <w:color w:val="000000" w:themeColor="text1"/>
        </w:rPr>
        <w:t>Elemento da Despesa: 3.3.90.39.00 Outros Serv. Terceiros - Pessoa Jurídica</w:t>
      </w:r>
    </w:p>
    <w:p w14:paraId="6C441D65" w14:textId="77777777" w:rsidR="000F22CE" w:rsidRPr="000F22CE" w:rsidRDefault="000F22CE" w:rsidP="000F22CE">
      <w:pPr>
        <w:spacing w:line="360" w:lineRule="auto"/>
        <w:jc w:val="both"/>
        <w:rPr>
          <w:rFonts w:ascii="Times New Roman" w:hAnsi="Times New Roman" w:cs="Times New Roman"/>
          <w:bCs/>
          <w:iCs/>
          <w:color w:val="000000" w:themeColor="text1"/>
        </w:rPr>
      </w:pPr>
      <w:r w:rsidRPr="000F22CE">
        <w:rPr>
          <w:rFonts w:ascii="Times New Roman" w:hAnsi="Times New Roman" w:cs="Times New Roman"/>
          <w:bCs/>
          <w:iCs/>
          <w:color w:val="000000" w:themeColor="text1"/>
        </w:rPr>
        <w:t>Fonte de Recurso: 1.500.000.0000 Recursos não vinculados de Impostos</w:t>
      </w:r>
    </w:p>
    <w:bookmarkEnd w:id="3"/>
    <w:bookmarkEnd w:id="4"/>
    <w:bookmarkEnd w:id="5"/>
    <w:p w14:paraId="587D94AB" w14:textId="77777777" w:rsidR="00C64015" w:rsidRPr="000F22CE" w:rsidRDefault="00C64015" w:rsidP="000F22CE">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0F22CE">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0F22CE" w:rsidRDefault="00E3350E" w:rsidP="00DD3A67">
      <w:pPr>
        <w:spacing w:line="360" w:lineRule="auto"/>
        <w:jc w:val="both"/>
        <w:rPr>
          <w:rFonts w:ascii="Times New Roman" w:hAnsi="Times New Roman" w:cs="Times New Roman"/>
          <w:b/>
        </w:rPr>
      </w:pPr>
      <w:r w:rsidRPr="000F22CE">
        <w:rPr>
          <w:rFonts w:ascii="Times New Roman" w:hAnsi="Times New Roman" w:cs="Times New Roman"/>
          <w:b/>
        </w:rPr>
        <w:t xml:space="preserve">CLÁUSULA DÉCIMA QUARTA – DOS CASOS OMISSOS </w:t>
      </w:r>
    </w:p>
    <w:p w14:paraId="64D6B13B" w14:textId="566B10B4" w:rsidR="001A0FE4" w:rsidRPr="00DD3A67" w:rsidRDefault="001A0FE4" w:rsidP="00DD3A67">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C24613">
      <w:pPr>
        <w:pStyle w:val="PargrafodaLista"/>
        <w:widowControl/>
        <w:autoSpaceDE/>
        <w:autoSpaceDN/>
        <w:spacing w:line="360" w:lineRule="auto"/>
        <w:ind w:left="0"/>
        <w:jc w:val="both"/>
        <w:rPr>
          <w:rFonts w:ascii="Times New Roman" w:hAnsi="Times New Roman" w:cs="Times New Roman"/>
        </w:rPr>
      </w:pPr>
    </w:p>
    <w:p w14:paraId="35FDDD19" w14:textId="44727301" w:rsidR="005472D6"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2CACF500" w14:textId="023FDC44" w:rsidR="00280970" w:rsidRDefault="00280970" w:rsidP="00DD3A67">
      <w:pPr>
        <w:spacing w:line="360" w:lineRule="auto"/>
        <w:jc w:val="both"/>
        <w:rPr>
          <w:rFonts w:ascii="Times New Roman" w:hAnsi="Times New Roman" w:cs="Times New Roman"/>
        </w:rPr>
      </w:pPr>
    </w:p>
    <w:p w14:paraId="567AF066" w14:textId="77777777" w:rsidR="00280970" w:rsidRDefault="00280970" w:rsidP="00DD3A67">
      <w:pPr>
        <w:spacing w:line="360" w:lineRule="auto"/>
        <w:jc w:val="both"/>
        <w:rPr>
          <w:rFonts w:ascii="Times New Roman" w:hAnsi="Times New Roman" w:cs="Times New Roman"/>
        </w:rPr>
      </w:pPr>
    </w:p>
    <w:p w14:paraId="0EAF8AC4" w14:textId="78B51887" w:rsidR="00280970" w:rsidRDefault="00280970" w:rsidP="00DD3A67">
      <w:pPr>
        <w:spacing w:line="360" w:lineRule="auto"/>
        <w:jc w:val="both"/>
        <w:rPr>
          <w:rFonts w:ascii="Times New Roman" w:hAnsi="Times New Roman" w:cs="Times New Roman"/>
        </w:rPr>
        <w:sectPr w:rsidR="00280970"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2751DD88"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5A83345D" w14:textId="77777777" w:rsidR="00280970" w:rsidRDefault="00280970" w:rsidP="003D0E4D">
      <w:pPr>
        <w:spacing w:line="360" w:lineRule="auto"/>
        <w:jc w:val="both"/>
        <w:rPr>
          <w:rFonts w:ascii="Times New Roman" w:hAnsi="Times New Roman" w:cs="Times New Roman"/>
        </w:rPr>
      </w:pPr>
    </w:p>
    <w:p w14:paraId="7B38668A" w14:textId="45654E8C"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295F9650" w14:textId="77777777" w:rsidR="00280970" w:rsidRDefault="00280970" w:rsidP="003D0E4D">
      <w:pPr>
        <w:spacing w:line="360" w:lineRule="auto"/>
        <w:jc w:val="both"/>
        <w:rPr>
          <w:rFonts w:ascii="Times New Roman" w:hAnsi="Times New Roman" w:cs="Times New Roman"/>
        </w:rPr>
      </w:pPr>
    </w:p>
    <w:p w14:paraId="1A8A762E" w14:textId="77777777" w:rsidR="00280970" w:rsidRDefault="00280970" w:rsidP="003D0E4D">
      <w:pPr>
        <w:spacing w:line="360" w:lineRule="auto"/>
        <w:jc w:val="both"/>
        <w:rPr>
          <w:rFonts w:ascii="Times New Roman" w:hAnsi="Times New Roman" w:cs="Times New Roman"/>
        </w:rPr>
      </w:pPr>
    </w:p>
    <w:p w14:paraId="7460180E" w14:textId="77777777" w:rsidR="00280970" w:rsidRDefault="00280970" w:rsidP="003D0E4D">
      <w:pPr>
        <w:spacing w:line="360" w:lineRule="auto"/>
        <w:jc w:val="both"/>
        <w:rPr>
          <w:rFonts w:ascii="Times New Roman" w:hAnsi="Times New Roman" w:cs="Times New Roman"/>
        </w:rPr>
      </w:pPr>
    </w:p>
    <w:p w14:paraId="6366F8CE" w14:textId="77777777" w:rsidR="00280970" w:rsidRDefault="00280970" w:rsidP="003D0E4D">
      <w:pPr>
        <w:spacing w:line="360" w:lineRule="auto"/>
        <w:jc w:val="both"/>
        <w:rPr>
          <w:rFonts w:ascii="Times New Roman" w:hAnsi="Times New Roman" w:cs="Times New Roman"/>
        </w:rPr>
      </w:pPr>
    </w:p>
    <w:p w14:paraId="128554C9" w14:textId="77777777" w:rsidR="00280970" w:rsidRDefault="00280970" w:rsidP="003D0E4D">
      <w:pPr>
        <w:spacing w:line="360" w:lineRule="auto"/>
        <w:jc w:val="both"/>
        <w:rPr>
          <w:rFonts w:ascii="Times New Roman" w:hAnsi="Times New Roman" w:cs="Times New Roman"/>
        </w:rPr>
      </w:pPr>
    </w:p>
    <w:p w14:paraId="7E10DDB2" w14:textId="77777777" w:rsidR="00280970" w:rsidRDefault="00280970" w:rsidP="003D0E4D">
      <w:pPr>
        <w:spacing w:line="360" w:lineRule="auto"/>
        <w:jc w:val="both"/>
        <w:rPr>
          <w:rFonts w:ascii="Times New Roman" w:hAnsi="Times New Roman" w:cs="Times New Roman"/>
        </w:rPr>
      </w:pPr>
    </w:p>
    <w:p w14:paraId="2A55BC20" w14:textId="77777777" w:rsidR="00280970" w:rsidRDefault="00280970" w:rsidP="003D0E4D">
      <w:pPr>
        <w:spacing w:line="360" w:lineRule="auto"/>
        <w:jc w:val="both"/>
        <w:rPr>
          <w:rFonts w:ascii="Times New Roman" w:hAnsi="Times New Roman" w:cs="Times New Roman"/>
        </w:rPr>
      </w:pPr>
    </w:p>
    <w:p w14:paraId="5A47E93D" w14:textId="77777777" w:rsidR="00280970" w:rsidRDefault="00280970" w:rsidP="003D0E4D">
      <w:pPr>
        <w:spacing w:line="360" w:lineRule="auto"/>
        <w:jc w:val="both"/>
        <w:rPr>
          <w:rFonts w:ascii="Times New Roman" w:hAnsi="Times New Roman" w:cs="Times New Roman"/>
        </w:rPr>
      </w:pPr>
    </w:p>
    <w:p w14:paraId="0A523979" w14:textId="77777777" w:rsidR="00280970" w:rsidRDefault="00280970" w:rsidP="003D0E4D">
      <w:pPr>
        <w:spacing w:line="360" w:lineRule="auto"/>
        <w:jc w:val="both"/>
        <w:rPr>
          <w:rFonts w:ascii="Times New Roman" w:hAnsi="Times New Roman" w:cs="Times New Roman"/>
        </w:rPr>
      </w:pPr>
    </w:p>
    <w:p w14:paraId="5D4DC49C" w14:textId="60612D1E" w:rsidR="00280970" w:rsidRDefault="00280970" w:rsidP="003D0E4D">
      <w:pPr>
        <w:spacing w:line="360" w:lineRule="auto"/>
        <w:jc w:val="both"/>
        <w:rPr>
          <w:rFonts w:ascii="Times New Roman" w:hAnsi="Times New Roman" w:cs="Times New Roman"/>
        </w:rPr>
      </w:pPr>
    </w:p>
    <w:p w14:paraId="0B0CBA22" w14:textId="024D62DA" w:rsidR="00C24613" w:rsidRDefault="00C24613" w:rsidP="003D0E4D">
      <w:pPr>
        <w:spacing w:line="360" w:lineRule="auto"/>
        <w:jc w:val="both"/>
        <w:rPr>
          <w:rFonts w:ascii="Times New Roman" w:hAnsi="Times New Roman" w:cs="Times New Roman"/>
        </w:rPr>
      </w:pPr>
    </w:p>
    <w:p w14:paraId="6DD5F705" w14:textId="77777777" w:rsidR="00C24613" w:rsidRDefault="00C24613" w:rsidP="003D0E4D">
      <w:pPr>
        <w:spacing w:line="360" w:lineRule="auto"/>
        <w:jc w:val="both"/>
        <w:rPr>
          <w:rFonts w:ascii="Times New Roman" w:hAnsi="Times New Roman" w:cs="Times New Roman"/>
        </w:rPr>
      </w:pPr>
    </w:p>
    <w:p w14:paraId="564B1956" w14:textId="04CBD39B" w:rsidR="00280970" w:rsidRDefault="00280970" w:rsidP="003D0E4D">
      <w:pPr>
        <w:spacing w:line="360" w:lineRule="auto"/>
        <w:jc w:val="both"/>
        <w:rPr>
          <w:rFonts w:ascii="Times New Roman" w:hAnsi="Times New Roman" w:cs="Times New Roman"/>
        </w:rPr>
      </w:pPr>
    </w:p>
    <w:p w14:paraId="1A818534" w14:textId="75DFCF97" w:rsidR="005A358C" w:rsidRDefault="005A358C" w:rsidP="003D0E4D">
      <w:pPr>
        <w:spacing w:line="360" w:lineRule="auto"/>
        <w:jc w:val="both"/>
        <w:rPr>
          <w:rFonts w:ascii="Times New Roman" w:hAnsi="Times New Roman" w:cs="Times New Roman"/>
        </w:rPr>
      </w:pPr>
    </w:p>
    <w:p w14:paraId="262BBA6F" w14:textId="769C016C" w:rsidR="005A358C" w:rsidRDefault="005A358C" w:rsidP="003D0E4D">
      <w:pPr>
        <w:spacing w:line="360" w:lineRule="auto"/>
        <w:jc w:val="both"/>
        <w:rPr>
          <w:rFonts w:ascii="Times New Roman" w:hAnsi="Times New Roman" w:cs="Times New Roman"/>
        </w:rPr>
      </w:pPr>
    </w:p>
    <w:p w14:paraId="59EF88EA" w14:textId="77777777" w:rsidR="005A358C" w:rsidRDefault="005A358C" w:rsidP="003D0E4D">
      <w:pPr>
        <w:spacing w:line="360" w:lineRule="auto"/>
        <w:jc w:val="both"/>
        <w:rPr>
          <w:rFonts w:ascii="Times New Roman" w:hAnsi="Times New Roman" w:cs="Times New Roman"/>
        </w:rPr>
      </w:pPr>
    </w:p>
    <w:p w14:paraId="06631275" w14:textId="1CAC25BF"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1AA48" w14:textId="77777777" w:rsidR="00FD6B04" w:rsidRDefault="00FD6B04" w:rsidP="002708F3">
      <w:r>
        <w:separator/>
      </w:r>
    </w:p>
  </w:endnote>
  <w:endnote w:type="continuationSeparator" w:id="0">
    <w:p w14:paraId="4FE7791B" w14:textId="77777777" w:rsidR="00FD6B04" w:rsidRDefault="00FD6B04"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496B9B26" w:rsidR="002708F3" w:rsidRDefault="00275D24">
    <w:pPr>
      <w:pStyle w:val="Rodap"/>
    </w:pPr>
    <w:r>
      <w:rPr>
        <w:noProof/>
      </w:rPr>
      <w:drawing>
        <wp:anchor distT="0" distB="0" distL="114300" distR="114300" simplePos="0" relativeHeight="251657728" behindDoc="0" locked="0" layoutInCell="1" allowOverlap="1" wp14:anchorId="402BE73B" wp14:editId="7EE7F8CC">
          <wp:simplePos x="0" y="0"/>
          <wp:positionH relativeFrom="page">
            <wp:align>right</wp:align>
          </wp:positionH>
          <wp:positionV relativeFrom="page">
            <wp:align>bottom</wp:align>
          </wp:positionV>
          <wp:extent cx="7634605" cy="998220"/>
          <wp:effectExtent l="0" t="0" r="444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55B75" w14:textId="77777777" w:rsidR="00FD6B04" w:rsidRDefault="00FD6B04" w:rsidP="002708F3">
      <w:r>
        <w:separator/>
      </w:r>
    </w:p>
  </w:footnote>
  <w:footnote w:type="continuationSeparator" w:id="0">
    <w:p w14:paraId="7A4013CF" w14:textId="77777777" w:rsidR="00FD6B04" w:rsidRDefault="00FD6B04"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59F79A57" w:rsidR="00D71737" w:rsidRPr="001478F2" w:rsidRDefault="005A358C" w:rsidP="00D71737">
    <w:pPr>
      <w:pStyle w:val="Cabealho"/>
      <w:rPr>
        <w:sz w:val="2"/>
        <w:szCs w:val="2"/>
      </w:rPr>
    </w:pP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15.3pt;margin-top:174.4pt;width:423.35pt;height:260.25pt;z-index:-251657728;mso-position-horizontal-relative:margin;mso-position-vertical-relative:margin" o:allowincell="f">
          <v:imagedata r:id="rId1" o:title="PAPEL TIMBRADO new"/>
          <w10:wrap anchorx="margin" anchory="margin"/>
        </v:shape>
      </w:pict>
    </w:r>
    <w:r w:rsidR="00275D24">
      <w:rPr>
        <w:noProof/>
      </w:rPr>
      <w:drawing>
        <wp:anchor distT="0" distB="0" distL="114300" distR="114300" simplePos="0" relativeHeight="251656704" behindDoc="0" locked="0" layoutInCell="1" allowOverlap="1" wp14:anchorId="58CD5B13" wp14:editId="043C3261">
          <wp:simplePos x="0" y="0"/>
          <wp:positionH relativeFrom="page">
            <wp:align>right</wp:align>
          </wp:positionH>
          <wp:positionV relativeFrom="page">
            <wp:align>top</wp:align>
          </wp:positionV>
          <wp:extent cx="7639050" cy="12985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p w14:paraId="575A4296" w14:textId="5880589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75905"/>
    <w:rsid w:val="000977C8"/>
    <w:rsid w:val="000A3159"/>
    <w:rsid w:val="000A6560"/>
    <w:rsid w:val="000D43A5"/>
    <w:rsid w:val="000E43AC"/>
    <w:rsid w:val="000F22CE"/>
    <w:rsid w:val="001008AA"/>
    <w:rsid w:val="001077BA"/>
    <w:rsid w:val="00114B88"/>
    <w:rsid w:val="001858E3"/>
    <w:rsid w:val="001A0FE4"/>
    <w:rsid w:val="001C4404"/>
    <w:rsid w:val="001C4987"/>
    <w:rsid w:val="00231F7F"/>
    <w:rsid w:val="002438EA"/>
    <w:rsid w:val="002554EF"/>
    <w:rsid w:val="002708F3"/>
    <w:rsid w:val="00275D24"/>
    <w:rsid w:val="00280970"/>
    <w:rsid w:val="0029588F"/>
    <w:rsid w:val="002B690C"/>
    <w:rsid w:val="002E02F2"/>
    <w:rsid w:val="002F31E1"/>
    <w:rsid w:val="00382A70"/>
    <w:rsid w:val="003D0E4D"/>
    <w:rsid w:val="003D332E"/>
    <w:rsid w:val="003D4646"/>
    <w:rsid w:val="003E3A31"/>
    <w:rsid w:val="00417B7A"/>
    <w:rsid w:val="00432C61"/>
    <w:rsid w:val="00473C9B"/>
    <w:rsid w:val="00492E47"/>
    <w:rsid w:val="004A7CAF"/>
    <w:rsid w:val="00522168"/>
    <w:rsid w:val="00532354"/>
    <w:rsid w:val="00537DF3"/>
    <w:rsid w:val="005472D6"/>
    <w:rsid w:val="00553C58"/>
    <w:rsid w:val="005A358C"/>
    <w:rsid w:val="005B0BC4"/>
    <w:rsid w:val="005F4943"/>
    <w:rsid w:val="006449D6"/>
    <w:rsid w:val="0067169F"/>
    <w:rsid w:val="00683AE4"/>
    <w:rsid w:val="00704BFB"/>
    <w:rsid w:val="007348C5"/>
    <w:rsid w:val="00744976"/>
    <w:rsid w:val="007739B6"/>
    <w:rsid w:val="007A7389"/>
    <w:rsid w:val="007E077F"/>
    <w:rsid w:val="0081318A"/>
    <w:rsid w:val="00844BA4"/>
    <w:rsid w:val="008775CB"/>
    <w:rsid w:val="008B1857"/>
    <w:rsid w:val="008B5AD8"/>
    <w:rsid w:val="008D3EDF"/>
    <w:rsid w:val="008D7EF3"/>
    <w:rsid w:val="008E387B"/>
    <w:rsid w:val="008E5D49"/>
    <w:rsid w:val="0091225D"/>
    <w:rsid w:val="00983FE4"/>
    <w:rsid w:val="00986A25"/>
    <w:rsid w:val="009D6D02"/>
    <w:rsid w:val="009F4B0A"/>
    <w:rsid w:val="009F77E2"/>
    <w:rsid w:val="00A10B87"/>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24613"/>
    <w:rsid w:val="00C35EF6"/>
    <w:rsid w:val="00C64015"/>
    <w:rsid w:val="00CA424D"/>
    <w:rsid w:val="00CB1699"/>
    <w:rsid w:val="00CB59F6"/>
    <w:rsid w:val="00CD4F6F"/>
    <w:rsid w:val="00CE387D"/>
    <w:rsid w:val="00CE6465"/>
    <w:rsid w:val="00CF4A36"/>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4A99"/>
    <w:rsid w:val="00FA50E2"/>
    <w:rsid w:val="00FD5306"/>
    <w:rsid w:val="00FD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CBB6-64B6-4B1F-B198-57BBB299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3203</Words>
  <Characters>17301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44</cp:revision>
  <cp:lastPrinted>2024-07-02T11:28:00Z</cp:lastPrinted>
  <dcterms:created xsi:type="dcterms:W3CDTF">2024-07-01T12:50:00Z</dcterms:created>
  <dcterms:modified xsi:type="dcterms:W3CDTF">2025-11-03T10:29:00Z</dcterms:modified>
</cp:coreProperties>
</file>