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8E6A" w14:textId="77777777" w:rsidR="009F2D68" w:rsidRDefault="009F2D68" w:rsidP="00D85B3C">
      <w:pPr>
        <w:tabs>
          <w:tab w:val="left" w:pos="0"/>
          <w:tab w:val="left" w:pos="142"/>
        </w:tabs>
        <w:spacing w:line="360" w:lineRule="auto"/>
        <w:jc w:val="center"/>
        <w:rPr>
          <w:b/>
          <w:sz w:val="22"/>
          <w:szCs w:val="22"/>
        </w:rPr>
      </w:pPr>
      <w:bookmarkStart w:id="0" w:name="_Hlk82471863"/>
    </w:p>
    <w:p w14:paraId="1C311FB3" w14:textId="7095C7CA" w:rsidR="00C33E85" w:rsidRDefault="00C33E85" w:rsidP="00D85B3C">
      <w:pPr>
        <w:tabs>
          <w:tab w:val="left" w:pos="0"/>
          <w:tab w:val="left" w:pos="142"/>
        </w:tabs>
        <w:spacing w:line="360" w:lineRule="auto"/>
        <w:jc w:val="center"/>
        <w:rPr>
          <w:b/>
          <w:sz w:val="22"/>
          <w:szCs w:val="22"/>
        </w:rPr>
      </w:pPr>
      <w:r w:rsidRPr="00D85B3C">
        <w:rPr>
          <w:b/>
          <w:sz w:val="22"/>
          <w:szCs w:val="22"/>
        </w:rPr>
        <w:t>TERMO DE REFERÊNCIA</w:t>
      </w:r>
    </w:p>
    <w:p w14:paraId="1C6533DB" w14:textId="77777777" w:rsidR="009F2D68" w:rsidRPr="00D85B3C" w:rsidRDefault="009F2D68" w:rsidP="00D85B3C">
      <w:pPr>
        <w:tabs>
          <w:tab w:val="left" w:pos="0"/>
          <w:tab w:val="left" w:pos="142"/>
        </w:tabs>
        <w:spacing w:line="360" w:lineRule="auto"/>
        <w:jc w:val="center"/>
        <w:rPr>
          <w:b/>
          <w:sz w:val="22"/>
          <w:szCs w:val="22"/>
        </w:rPr>
      </w:pPr>
    </w:p>
    <w:p w14:paraId="25632177" w14:textId="77777777" w:rsidR="00C40731" w:rsidRPr="00D85B3C" w:rsidRDefault="00C40731" w:rsidP="00D85B3C">
      <w:pPr>
        <w:tabs>
          <w:tab w:val="left" w:pos="0"/>
          <w:tab w:val="left" w:pos="142"/>
        </w:tabs>
        <w:spacing w:line="360" w:lineRule="auto"/>
        <w:jc w:val="both"/>
        <w:rPr>
          <w:sz w:val="22"/>
          <w:szCs w:val="22"/>
        </w:rPr>
      </w:pPr>
    </w:p>
    <w:p w14:paraId="56765139" w14:textId="77777777" w:rsidR="00361381" w:rsidRPr="00D85B3C" w:rsidRDefault="001A27B9" w:rsidP="00D85B3C">
      <w:pPr>
        <w:pStyle w:val="PargrafodaLista"/>
        <w:numPr>
          <w:ilvl w:val="0"/>
          <w:numId w:val="7"/>
        </w:numPr>
        <w:tabs>
          <w:tab w:val="left" w:pos="0"/>
        </w:tabs>
        <w:spacing w:line="360" w:lineRule="auto"/>
        <w:ind w:left="0" w:firstLine="0"/>
        <w:jc w:val="both"/>
        <w:rPr>
          <w:b/>
          <w:sz w:val="22"/>
          <w:szCs w:val="22"/>
        </w:rPr>
      </w:pPr>
      <w:r w:rsidRPr="00D85B3C">
        <w:rPr>
          <w:b/>
          <w:sz w:val="22"/>
          <w:szCs w:val="22"/>
        </w:rPr>
        <w:t xml:space="preserve">DAS CONDIÇÕES GERAIS DA CONTRATAÇÃO </w:t>
      </w:r>
    </w:p>
    <w:p w14:paraId="1768B660" w14:textId="365F72EE" w:rsidR="005B7E20" w:rsidRPr="00D85B3C" w:rsidRDefault="004F580A" w:rsidP="00D85B3C">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bCs/>
          <w:sz w:val="22"/>
          <w:szCs w:val="22"/>
          <w:lang w:val="pt-BR"/>
        </w:rPr>
        <w:t>Contratação de empresa especializada para prestação de serviços técnicos profissionais de consultoria e assessoria visando o planejamento, analise, organização e acompanhamento na captação dos ICMS Patrimônio Cultura, Esportivo e Turismo no Município de Catuji/MG</w:t>
      </w:r>
      <w:r w:rsidR="004F14BA" w:rsidRPr="00D85B3C">
        <w:rPr>
          <w:rFonts w:eastAsia="Calibri"/>
          <w:sz w:val="22"/>
          <w:szCs w:val="22"/>
        </w:rPr>
        <w:t xml:space="preserve">, </w:t>
      </w:r>
      <w:r w:rsidR="001A27B9" w:rsidRPr="00D85B3C">
        <w:rPr>
          <w:rFonts w:eastAsia="Calibri"/>
          <w:sz w:val="22"/>
          <w:szCs w:val="22"/>
        </w:rPr>
        <w:t>nos termos da tabela abaixo, conforme condições e exigências estabelecidas neste instrumento.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527"/>
        <w:gridCol w:w="986"/>
        <w:gridCol w:w="835"/>
        <w:gridCol w:w="1280"/>
        <w:gridCol w:w="1247"/>
      </w:tblGrid>
      <w:tr w:rsidR="000015B6" w:rsidRPr="00D85B3C" w14:paraId="22E1244F" w14:textId="77777777" w:rsidTr="00D26CBA">
        <w:tc>
          <w:tcPr>
            <w:tcW w:w="705" w:type="dxa"/>
            <w:shd w:val="clear" w:color="auto" w:fill="auto"/>
            <w:vAlign w:val="center"/>
          </w:tcPr>
          <w:p w14:paraId="3F340009"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ITEM</w:t>
            </w:r>
          </w:p>
        </w:tc>
        <w:tc>
          <w:tcPr>
            <w:tcW w:w="4588" w:type="dxa"/>
            <w:shd w:val="clear" w:color="auto" w:fill="auto"/>
            <w:vAlign w:val="center"/>
          </w:tcPr>
          <w:p w14:paraId="48F222C6"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DESCRIÇÃO DO SERVIÇO</w:t>
            </w:r>
          </w:p>
        </w:tc>
        <w:tc>
          <w:tcPr>
            <w:tcW w:w="984" w:type="dxa"/>
            <w:shd w:val="clear" w:color="auto" w:fill="auto"/>
            <w:vAlign w:val="center"/>
          </w:tcPr>
          <w:p w14:paraId="0C2CE70A"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QUANT</w:t>
            </w:r>
          </w:p>
        </w:tc>
        <w:tc>
          <w:tcPr>
            <w:tcW w:w="836" w:type="dxa"/>
            <w:shd w:val="clear" w:color="auto" w:fill="auto"/>
            <w:vAlign w:val="center"/>
          </w:tcPr>
          <w:p w14:paraId="31A82DB2"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UNID</w:t>
            </w:r>
          </w:p>
        </w:tc>
        <w:tc>
          <w:tcPr>
            <w:tcW w:w="1266" w:type="dxa"/>
            <w:shd w:val="clear" w:color="auto" w:fill="auto"/>
            <w:vAlign w:val="center"/>
          </w:tcPr>
          <w:p w14:paraId="1BEDCEF2"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VALOR UNITARIO</w:t>
            </w:r>
          </w:p>
          <w:p w14:paraId="0D28E61F"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w:t>
            </w:r>
          </w:p>
        </w:tc>
        <w:tc>
          <w:tcPr>
            <w:tcW w:w="1250" w:type="dxa"/>
            <w:shd w:val="clear" w:color="auto" w:fill="auto"/>
            <w:vAlign w:val="center"/>
          </w:tcPr>
          <w:p w14:paraId="7510DC52" w14:textId="77777777" w:rsidR="000015B6" w:rsidRPr="00D85B3C" w:rsidRDefault="000015B6" w:rsidP="00D85B3C">
            <w:pPr>
              <w:tabs>
                <w:tab w:val="left" w:pos="0"/>
                <w:tab w:val="left" w:pos="142"/>
              </w:tabs>
              <w:spacing w:line="360" w:lineRule="auto"/>
              <w:jc w:val="center"/>
              <w:rPr>
                <w:sz w:val="22"/>
                <w:szCs w:val="22"/>
                <w:lang w:eastAsia="ar-SA"/>
              </w:rPr>
            </w:pPr>
            <w:r w:rsidRPr="00D85B3C">
              <w:rPr>
                <w:sz w:val="22"/>
                <w:szCs w:val="22"/>
                <w:lang w:eastAsia="ar-SA"/>
              </w:rPr>
              <w:t>VALOR TOTAL ($)</w:t>
            </w:r>
          </w:p>
        </w:tc>
      </w:tr>
      <w:tr w:rsidR="00DF0000" w:rsidRPr="00D85B3C" w14:paraId="2BB4538C" w14:textId="77777777" w:rsidTr="00D26CBA">
        <w:tc>
          <w:tcPr>
            <w:tcW w:w="705" w:type="dxa"/>
            <w:shd w:val="clear" w:color="auto" w:fill="auto"/>
            <w:vAlign w:val="center"/>
          </w:tcPr>
          <w:p w14:paraId="323AC18B" w14:textId="54F8AF28" w:rsidR="00DF0000" w:rsidRPr="00D85B3C" w:rsidRDefault="00DF0000" w:rsidP="00D85B3C">
            <w:pPr>
              <w:tabs>
                <w:tab w:val="left" w:pos="0"/>
                <w:tab w:val="left" w:pos="142"/>
              </w:tabs>
              <w:spacing w:line="360" w:lineRule="auto"/>
              <w:jc w:val="center"/>
              <w:rPr>
                <w:sz w:val="22"/>
                <w:szCs w:val="22"/>
                <w:lang w:eastAsia="ar-SA"/>
              </w:rPr>
            </w:pPr>
            <w:r w:rsidRPr="00D85B3C">
              <w:rPr>
                <w:sz w:val="22"/>
                <w:szCs w:val="22"/>
              </w:rPr>
              <w:t>01</w:t>
            </w:r>
          </w:p>
        </w:tc>
        <w:tc>
          <w:tcPr>
            <w:tcW w:w="4588" w:type="dxa"/>
            <w:shd w:val="clear" w:color="auto" w:fill="auto"/>
            <w:vAlign w:val="center"/>
          </w:tcPr>
          <w:p w14:paraId="131FB8FB" w14:textId="64ECD6DF" w:rsidR="00DF0000" w:rsidRPr="00D85B3C" w:rsidRDefault="004F580A" w:rsidP="00D85B3C">
            <w:pPr>
              <w:tabs>
                <w:tab w:val="left" w:pos="0"/>
                <w:tab w:val="left" w:pos="142"/>
              </w:tabs>
              <w:spacing w:line="360" w:lineRule="auto"/>
              <w:jc w:val="both"/>
              <w:rPr>
                <w:sz w:val="22"/>
                <w:szCs w:val="22"/>
                <w:lang w:eastAsia="ar-SA"/>
              </w:rPr>
            </w:pPr>
            <w:r w:rsidRPr="00D85B3C">
              <w:rPr>
                <w:bCs/>
                <w:sz w:val="22"/>
                <w:szCs w:val="22"/>
              </w:rPr>
              <w:t>C</w:t>
            </w:r>
            <w:r w:rsidR="00D26CBA" w:rsidRPr="00D85B3C">
              <w:rPr>
                <w:bCs/>
                <w:sz w:val="22"/>
                <w:szCs w:val="22"/>
              </w:rPr>
              <w:t>onsultoria</w:t>
            </w:r>
            <w:r w:rsidRPr="00D85B3C">
              <w:rPr>
                <w:bCs/>
                <w:sz w:val="22"/>
                <w:szCs w:val="22"/>
              </w:rPr>
              <w:t xml:space="preserve"> e assessoria</w:t>
            </w:r>
            <w:r w:rsidR="00D26CBA" w:rsidRPr="00D85B3C">
              <w:rPr>
                <w:bCs/>
                <w:sz w:val="22"/>
                <w:szCs w:val="22"/>
              </w:rPr>
              <w:t xml:space="preserve"> </w:t>
            </w:r>
            <w:r w:rsidRPr="00D85B3C">
              <w:rPr>
                <w:bCs/>
                <w:sz w:val="22"/>
                <w:szCs w:val="22"/>
              </w:rPr>
              <w:t>visando o planejamento, analise, organização e acompanhamento na captação dos ICMS Patrimônio Cultura</w:t>
            </w:r>
            <w:r w:rsidR="00D26CBA" w:rsidRPr="00D85B3C">
              <w:rPr>
                <w:bCs/>
                <w:sz w:val="22"/>
                <w:szCs w:val="22"/>
              </w:rPr>
              <w:t>.</w:t>
            </w:r>
          </w:p>
        </w:tc>
        <w:tc>
          <w:tcPr>
            <w:tcW w:w="984" w:type="dxa"/>
            <w:shd w:val="clear" w:color="auto" w:fill="auto"/>
            <w:vAlign w:val="center"/>
          </w:tcPr>
          <w:p w14:paraId="43083399" w14:textId="22926B56" w:rsidR="00DF0000" w:rsidRPr="00D85B3C" w:rsidRDefault="00D26CBA" w:rsidP="00D85B3C">
            <w:pPr>
              <w:tabs>
                <w:tab w:val="left" w:pos="0"/>
                <w:tab w:val="left" w:pos="142"/>
              </w:tabs>
              <w:spacing w:line="360" w:lineRule="auto"/>
              <w:jc w:val="center"/>
              <w:rPr>
                <w:sz w:val="22"/>
                <w:szCs w:val="22"/>
                <w:lang w:eastAsia="ar-SA"/>
              </w:rPr>
            </w:pPr>
            <w:r w:rsidRPr="00D85B3C">
              <w:rPr>
                <w:sz w:val="22"/>
                <w:szCs w:val="22"/>
              </w:rPr>
              <w:t>12</w:t>
            </w:r>
          </w:p>
        </w:tc>
        <w:tc>
          <w:tcPr>
            <w:tcW w:w="836" w:type="dxa"/>
            <w:shd w:val="clear" w:color="auto" w:fill="auto"/>
            <w:vAlign w:val="center"/>
          </w:tcPr>
          <w:p w14:paraId="2CB05A30" w14:textId="38138C45" w:rsidR="00DF0000" w:rsidRPr="00D85B3C" w:rsidRDefault="00D26CBA" w:rsidP="00D85B3C">
            <w:pPr>
              <w:tabs>
                <w:tab w:val="left" w:pos="0"/>
                <w:tab w:val="left" w:pos="142"/>
              </w:tabs>
              <w:spacing w:line="360" w:lineRule="auto"/>
              <w:jc w:val="center"/>
              <w:rPr>
                <w:sz w:val="22"/>
                <w:szCs w:val="22"/>
                <w:lang w:eastAsia="ar-SA"/>
              </w:rPr>
            </w:pPr>
            <w:r w:rsidRPr="00D85B3C">
              <w:rPr>
                <w:sz w:val="22"/>
                <w:szCs w:val="22"/>
              </w:rPr>
              <w:t>Mês</w:t>
            </w:r>
          </w:p>
        </w:tc>
        <w:tc>
          <w:tcPr>
            <w:tcW w:w="1266" w:type="dxa"/>
            <w:shd w:val="clear" w:color="auto" w:fill="auto"/>
            <w:vAlign w:val="center"/>
          </w:tcPr>
          <w:p w14:paraId="0480A29B" w14:textId="29537EC2" w:rsidR="00DF0000" w:rsidRPr="00D85B3C" w:rsidRDefault="003A4B07" w:rsidP="00D85B3C">
            <w:pPr>
              <w:tabs>
                <w:tab w:val="left" w:pos="0"/>
                <w:tab w:val="left" w:pos="142"/>
              </w:tabs>
              <w:spacing w:line="360" w:lineRule="auto"/>
              <w:jc w:val="center"/>
              <w:rPr>
                <w:sz w:val="22"/>
                <w:szCs w:val="22"/>
                <w:lang w:eastAsia="ar-SA"/>
              </w:rPr>
            </w:pPr>
            <w:r w:rsidRPr="00D85B3C">
              <w:rPr>
                <w:sz w:val="22"/>
                <w:szCs w:val="22"/>
                <w:lang w:eastAsia="ar-SA"/>
              </w:rPr>
              <w:t>1.500,00</w:t>
            </w:r>
          </w:p>
        </w:tc>
        <w:tc>
          <w:tcPr>
            <w:tcW w:w="1250" w:type="dxa"/>
            <w:shd w:val="clear" w:color="auto" w:fill="auto"/>
            <w:vAlign w:val="center"/>
          </w:tcPr>
          <w:p w14:paraId="55EACC81" w14:textId="492064DA" w:rsidR="00DF0000" w:rsidRPr="00D85B3C" w:rsidRDefault="003A4B07" w:rsidP="00D85B3C">
            <w:pPr>
              <w:tabs>
                <w:tab w:val="left" w:pos="0"/>
                <w:tab w:val="left" w:pos="142"/>
              </w:tabs>
              <w:spacing w:line="360" w:lineRule="auto"/>
              <w:jc w:val="center"/>
              <w:rPr>
                <w:sz w:val="22"/>
                <w:szCs w:val="22"/>
                <w:lang w:eastAsia="ar-SA"/>
              </w:rPr>
            </w:pPr>
            <w:r w:rsidRPr="00D85B3C">
              <w:rPr>
                <w:sz w:val="22"/>
                <w:szCs w:val="22"/>
                <w:lang w:eastAsia="ar-SA"/>
              </w:rPr>
              <w:t>18.000,00</w:t>
            </w:r>
          </w:p>
        </w:tc>
      </w:tr>
      <w:tr w:rsidR="003A4B07" w:rsidRPr="00D85B3C" w14:paraId="13871E57" w14:textId="77777777" w:rsidTr="00D26CBA">
        <w:tc>
          <w:tcPr>
            <w:tcW w:w="705" w:type="dxa"/>
            <w:shd w:val="clear" w:color="auto" w:fill="auto"/>
            <w:vAlign w:val="center"/>
          </w:tcPr>
          <w:p w14:paraId="1AC67153" w14:textId="29E3E62A" w:rsidR="003A4B07" w:rsidRPr="00D85B3C" w:rsidRDefault="003A4B07" w:rsidP="00D85B3C">
            <w:pPr>
              <w:tabs>
                <w:tab w:val="left" w:pos="0"/>
                <w:tab w:val="left" w:pos="142"/>
              </w:tabs>
              <w:spacing w:line="360" w:lineRule="auto"/>
              <w:jc w:val="center"/>
              <w:rPr>
                <w:sz w:val="22"/>
                <w:szCs w:val="22"/>
              </w:rPr>
            </w:pPr>
            <w:r w:rsidRPr="00D85B3C">
              <w:rPr>
                <w:sz w:val="22"/>
                <w:szCs w:val="22"/>
              </w:rPr>
              <w:t>02</w:t>
            </w:r>
          </w:p>
        </w:tc>
        <w:tc>
          <w:tcPr>
            <w:tcW w:w="4588" w:type="dxa"/>
            <w:shd w:val="clear" w:color="auto" w:fill="auto"/>
            <w:vAlign w:val="center"/>
          </w:tcPr>
          <w:p w14:paraId="49F63D37" w14:textId="7CCE5EE1" w:rsidR="003A4B07" w:rsidRPr="00D85B3C" w:rsidRDefault="003A4B07" w:rsidP="00D85B3C">
            <w:pPr>
              <w:tabs>
                <w:tab w:val="left" w:pos="0"/>
                <w:tab w:val="left" w:pos="142"/>
              </w:tabs>
              <w:spacing w:line="360" w:lineRule="auto"/>
              <w:jc w:val="both"/>
              <w:rPr>
                <w:bCs/>
                <w:sz w:val="22"/>
                <w:szCs w:val="22"/>
              </w:rPr>
            </w:pPr>
            <w:r w:rsidRPr="00D85B3C">
              <w:rPr>
                <w:bCs/>
                <w:sz w:val="22"/>
                <w:szCs w:val="22"/>
              </w:rPr>
              <w:t>Consultoria e assessoria visando o planejamento, analise, organização e acompanhamento na captação dos ICMS Patrimônio Esportivo.</w:t>
            </w:r>
          </w:p>
        </w:tc>
        <w:tc>
          <w:tcPr>
            <w:tcW w:w="984" w:type="dxa"/>
            <w:shd w:val="clear" w:color="auto" w:fill="auto"/>
            <w:vAlign w:val="center"/>
          </w:tcPr>
          <w:p w14:paraId="06974C70" w14:textId="09A37469" w:rsidR="003A4B07" w:rsidRPr="00D85B3C" w:rsidRDefault="003A4B07" w:rsidP="00D85B3C">
            <w:pPr>
              <w:tabs>
                <w:tab w:val="left" w:pos="0"/>
                <w:tab w:val="left" w:pos="142"/>
              </w:tabs>
              <w:spacing w:line="360" w:lineRule="auto"/>
              <w:jc w:val="center"/>
              <w:rPr>
                <w:sz w:val="22"/>
                <w:szCs w:val="22"/>
              </w:rPr>
            </w:pPr>
            <w:r w:rsidRPr="00D85B3C">
              <w:rPr>
                <w:sz w:val="22"/>
                <w:szCs w:val="22"/>
              </w:rPr>
              <w:t>12</w:t>
            </w:r>
          </w:p>
        </w:tc>
        <w:tc>
          <w:tcPr>
            <w:tcW w:w="836" w:type="dxa"/>
            <w:shd w:val="clear" w:color="auto" w:fill="auto"/>
            <w:vAlign w:val="center"/>
          </w:tcPr>
          <w:p w14:paraId="755C15EA" w14:textId="5EB59B30" w:rsidR="003A4B07" w:rsidRPr="00D85B3C" w:rsidRDefault="003A4B07" w:rsidP="00D85B3C">
            <w:pPr>
              <w:tabs>
                <w:tab w:val="left" w:pos="0"/>
                <w:tab w:val="left" w:pos="142"/>
              </w:tabs>
              <w:spacing w:line="360" w:lineRule="auto"/>
              <w:jc w:val="center"/>
              <w:rPr>
                <w:sz w:val="22"/>
                <w:szCs w:val="22"/>
              </w:rPr>
            </w:pPr>
            <w:r w:rsidRPr="00D85B3C">
              <w:rPr>
                <w:sz w:val="22"/>
                <w:szCs w:val="22"/>
              </w:rPr>
              <w:t>Mês</w:t>
            </w:r>
          </w:p>
        </w:tc>
        <w:tc>
          <w:tcPr>
            <w:tcW w:w="1266" w:type="dxa"/>
            <w:shd w:val="clear" w:color="auto" w:fill="auto"/>
            <w:vAlign w:val="center"/>
          </w:tcPr>
          <w:p w14:paraId="68C198CF" w14:textId="6921E8F0" w:rsidR="003A4B07" w:rsidRPr="00D85B3C" w:rsidRDefault="003A4B07" w:rsidP="00D85B3C">
            <w:pPr>
              <w:tabs>
                <w:tab w:val="left" w:pos="0"/>
                <w:tab w:val="left" w:pos="142"/>
              </w:tabs>
              <w:spacing w:line="360" w:lineRule="auto"/>
              <w:jc w:val="center"/>
              <w:rPr>
                <w:sz w:val="22"/>
                <w:szCs w:val="22"/>
              </w:rPr>
            </w:pPr>
            <w:r w:rsidRPr="00D85B3C">
              <w:rPr>
                <w:sz w:val="22"/>
                <w:szCs w:val="22"/>
              </w:rPr>
              <w:t>933,33</w:t>
            </w:r>
          </w:p>
        </w:tc>
        <w:tc>
          <w:tcPr>
            <w:tcW w:w="1250" w:type="dxa"/>
            <w:shd w:val="clear" w:color="auto" w:fill="auto"/>
            <w:vAlign w:val="center"/>
          </w:tcPr>
          <w:p w14:paraId="66101F21" w14:textId="374B7973" w:rsidR="003A4B07" w:rsidRPr="00D85B3C" w:rsidRDefault="003A4B07" w:rsidP="00D85B3C">
            <w:pPr>
              <w:tabs>
                <w:tab w:val="left" w:pos="0"/>
                <w:tab w:val="left" w:pos="142"/>
              </w:tabs>
              <w:spacing w:line="360" w:lineRule="auto"/>
              <w:jc w:val="center"/>
              <w:rPr>
                <w:sz w:val="22"/>
                <w:szCs w:val="22"/>
              </w:rPr>
            </w:pPr>
            <w:r w:rsidRPr="00D85B3C">
              <w:rPr>
                <w:sz w:val="22"/>
                <w:szCs w:val="22"/>
              </w:rPr>
              <w:t>11.199,99</w:t>
            </w:r>
          </w:p>
        </w:tc>
      </w:tr>
      <w:tr w:rsidR="003A4B07" w:rsidRPr="00D85B3C" w14:paraId="40EB3EC5" w14:textId="77777777" w:rsidTr="00D26CBA">
        <w:tc>
          <w:tcPr>
            <w:tcW w:w="705" w:type="dxa"/>
            <w:shd w:val="clear" w:color="auto" w:fill="auto"/>
            <w:vAlign w:val="center"/>
          </w:tcPr>
          <w:p w14:paraId="3144A3E1" w14:textId="03A8C124" w:rsidR="003A4B07" w:rsidRPr="00D85B3C" w:rsidRDefault="003A4B07" w:rsidP="00D85B3C">
            <w:pPr>
              <w:tabs>
                <w:tab w:val="left" w:pos="0"/>
                <w:tab w:val="left" w:pos="142"/>
              </w:tabs>
              <w:spacing w:line="360" w:lineRule="auto"/>
              <w:jc w:val="center"/>
              <w:rPr>
                <w:sz w:val="22"/>
                <w:szCs w:val="22"/>
              </w:rPr>
            </w:pPr>
            <w:r w:rsidRPr="00D85B3C">
              <w:rPr>
                <w:sz w:val="22"/>
                <w:szCs w:val="22"/>
              </w:rPr>
              <w:t>03</w:t>
            </w:r>
          </w:p>
        </w:tc>
        <w:tc>
          <w:tcPr>
            <w:tcW w:w="4588" w:type="dxa"/>
            <w:shd w:val="clear" w:color="auto" w:fill="auto"/>
            <w:vAlign w:val="center"/>
          </w:tcPr>
          <w:p w14:paraId="314FC7FB" w14:textId="37F51D0B" w:rsidR="003A4B07" w:rsidRPr="00D85B3C" w:rsidRDefault="003A4B07" w:rsidP="00D85B3C">
            <w:pPr>
              <w:tabs>
                <w:tab w:val="left" w:pos="0"/>
                <w:tab w:val="left" w:pos="142"/>
              </w:tabs>
              <w:spacing w:line="360" w:lineRule="auto"/>
              <w:jc w:val="both"/>
              <w:rPr>
                <w:bCs/>
                <w:sz w:val="22"/>
                <w:szCs w:val="22"/>
              </w:rPr>
            </w:pPr>
            <w:r w:rsidRPr="00D85B3C">
              <w:rPr>
                <w:bCs/>
                <w:sz w:val="22"/>
                <w:szCs w:val="22"/>
              </w:rPr>
              <w:t>Consultoria e assessoria visando o planejamento, analise, organização e acompanhamento na captação dos ICMS Patrimônio Turismo.</w:t>
            </w:r>
          </w:p>
        </w:tc>
        <w:tc>
          <w:tcPr>
            <w:tcW w:w="984" w:type="dxa"/>
            <w:shd w:val="clear" w:color="auto" w:fill="auto"/>
            <w:vAlign w:val="center"/>
          </w:tcPr>
          <w:p w14:paraId="5CB7A878" w14:textId="780F5F5E" w:rsidR="003A4B07" w:rsidRPr="00D85B3C" w:rsidRDefault="003A4B07" w:rsidP="00D85B3C">
            <w:pPr>
              <w:tabs>
                <w:tab w:val="left" w:pos="0"/>
                <w:tab w:val="left" w:pos="142"/>
              </w:tabs>
              <w:spacing w:line="360" w:lineRule="auto"/>
              <w:jc w:val="center"/>
              <w:rPr>
                <w:sz w:val="22"/>
                <w:szCs w:val="22"/>
              </w:rPr>
            </w:pPr>
            <w:r w:rsidRPr="00D85B3C">
              <w:rPr>
                <w:sz w:val="22"/>
                <w:szCs w:val="22"/>
              </w:rPr>
              <w:t>12</w:t>
            </w:r>
          </w:p>
        </w:tc>
        <w:tc>
          <w:tcPr>
            <w:tcW w:w="836" w:type="dxa"/>
            <w:shd w:val="clear" w:color="auto" w:fill="auto"/>
            <w:vAlign w:val="center"/>
          </w:tcPr>
          <w:p w14:paraId="0CC6FDF5" w14:textId="00CA9EAD" w:rsidR="003A4B07" w:rsidRPr="00D85B3C" w:rsidRDefault="003A4B07" w:rsidP="00D85B3C">
            <w:pPr>
              <w:tabs>
                <w:tab w:val="left" w:pos="0"/>
                <w:tab w:val="left" w:pos="142"/>
              </w:tabs>
              <w:spacing w:line="360" w:lineRule="auto"/>
              <w:jc w:val="center"/>
              <w:rPr>
                <w:sz w:val="22"/>
                <w:szCs w:val="22"/>
              </w:rPr>
            </w:pPr>
            <w:r w:rsidRPr="00D85B3C">
              <w:rPr>
                <w:sz w:val="22"/>
                <w:szCs w:val="22"/>
              </w:rPr>
              <w:t>Mês</w:t>
            </w:r>
          </w:p>
        </w:tc>
        <w:tc>
          <w:tcPr>
            <w:tcW w:w="1266" w:type="dxa"/>
            <w:shd w:val="clear" w:color="auto" w:fill="auto"/>
            <w:vAlign w:val="center"/>
          </w:tcPr>
          <w:p w14:paraId="490944DE" w14:textId="4C114695" w:rsidR="003A4B07" w:rsidRPr="00D85B3C" w:rsidRDefault="003A4B07" w:rsidP="00D85B3C">
            <w:pPr>
              <w:tabs>
                <w:tab w:val="left" w:pos="0"/>
                <w:tab w:val="left" w:pos="142"/>
              </w:tabs>
              <w:spacing w:line="360" w:lineRule="auto"/>
              <w:jc w:val="center"/>
              <w:rPr>
                <w:sz w:val="22"/>
                <w:szCs w:val="22"/>
              </w:rPr>
            </w:pPr>
            <w:r w:rsidRPr="00D85B3C">
              <w:rPr>
                <w:sz w:val="22"/>
                <w:szCs w:val="22"/>
              </w:rPr>
              <w:t>950,00</w:t>
            </w:r>
          </w:p>
        </w:tc>
        <w:tc>
          <w:tcPr>
            <w:tcW w:w="1250" w:type="dxa"/>
            <w:shd w:val="clear" w:color="auto" w:fill="auto"/>
            <w:vAlign w:val="center"/>
          </w:tcPr>
          <w:p w14:paraId="03A3E094" w14:textId="34C262B3" w:rsidR="003A4B07" w:rsidRPr="00D85B3C" w:rsidRDefault="003A4B07" w:rsidP="00D85B3C">
            <w:pPr>
              <w:tabs>
                <w:tab w:val="left" w:pos="0"/>
                <w:tab w:val="left" w:pos="142"/>
              </w:tabs>
              <w:spacing w:line="360" w:lineRule="auto"/>
              <w:jc w:val="center"/>
              <w:rPr>
                <w:sz w:val="22"/>
                <w:szCs w:val="22"/>
              </w:rPr>
            </w:pPr>
            <w:r w:rsidRPr="00D85B3C">
              <w:rPr>
                <w:sz w:val="22"/>
                <w:szCs w:val="22"/>
              </w:rPr>
              <w:t>11.400,00</w:t>
            </w:r>
          </w:p>
        </w:tc>
      </w:tr>
    </w:tbl>
    <w:p w14:paraId="49C47F23" w14:textId="77777777" w:rsidR="00A44453" w:rsidRPr="00D85B3C" w:rsidRDefault="00A44453" w:rsidP="00D85B3C">
      <w:pPr>
        <w:pStyle w:val="PargrafodaLista"/>
        <w:tabs>
          <w:tab w:val="left" w:pos="0"/>
          <w:tab w:val="left" w:pos="142"/>
        </w:tabs>
        <w:spacing w:line="360" w:lineRule="auto"/>
        <w:ind w:left="0"/>
        <w:jc w:val="both"/>
        <w:rPr>
          <w:rFonts w:eastAsia="Calibri"/>
          <w:sz w:val="22"/>
          <w:szCs w:val="22"/>
        </w:rPr>
      </w:pPr>
    </w:p>
    <w:p w14:paraId="223112D0" w14:textId="0E0A4365" w:rsidR="005B7E20" w:rsidRDefault="001A27B9" w:rsidP="00D85B3C">
      <w:pPr>
        <w:pStyle w:val="PargrafodaLista"/>
        <w:numPr>
          <w:ilvl w:val="1"/>
          <w:numId w:val="7"/>
        </w:numPr>
        <w:tabs>
          <w:tab w:val="left" w:pos="0"/>
          <w:tab w:val="left" w:pos="142"/>
        </w:tabs>
        <w:spacing w:line="360" w:lineRule="auto"/>
        <w:ind w:left="0" w:firstLine="0"/>
        <w:jc w:val="both"/>
        <w:rPr>
          <w:rFonts w:eastAsia="Calibri"/>
          <w:sz w:val="22"/>
          <w:szCs w:val="22"/>
        </w:rPr>
      </w:pPr>
      <w:r w:rsidRPr="00D85B3C">
        <w:rPr>
          <w:rFonts w:eastAsia="Calibri"/>
          <w:sz w:val="22"/>
          <w:szCs w:val="22"/>
        </w:rPr>
        <w:t>O prazo de vigência da contratação é de 12 (doze) meses contados da data de assinatura, podendo ser prorrogado, na forma dos artigos 107 da Lei n° 14.133/2021.</w:t>
      </w:r>
    </w:p>
    <w:p w14:paraId="2F92F89A" w14:textId="77777777" w:rsidR="0017296C" w:rsidRPr="009C7108" w:rsidRDefault="0017296C" w:rsidP="0017296C">
      <w:pPr>
        <w:pStyle w:val="PargrafodaLista"/>
        <w:numPr>
          <w:ilvl w:val="0"/>
          <w:numId w:val="7"/>
        </w:numPr>
        <w:tabs>
          <w:tab w:val="left" w:pos="0"/>
        </w:tabs>
        <w:spacing w:line="360" w:lineRule="auto"/>
        <w:ind w:left="0" w:firstLine="0"/>
        <w:jc w:val="both"/>
        <w:rPr>
          <w:rFonts w:eastAsia="Calibri"/>
          <w:b/>
          <w:sz w:val="22"/>
          <w:szCs w:val="22"/>
        </w:rPr>
      </w:pPr>
      <w:r w:rsidRPr="009C7108">
        <w:rPr>
          <w:rFonts w:eastAsia="Calibri"/>
          <w:b/>
          <w:sz w:val="22"/>
          <w:szCs w:val="22"/>
        </w:rPr>
        <w:t>JUSTIFICATIVA PARA DISPENSA DO ESTUDO TÉCNICO PRELIMINAR (ETP) E DA ANÁLISE DE RISCO</w:t>
      </w:r>
    </w:p>
    <w:p w14:paraId="3457EC76" w14:textId="77777777" w:rsidR="0017296C" w:rsidRPr="009C7108"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Considerando que o Estudo Técnico Preliminar (ETP) tem como objetivo analisar o problema ou necessidade apresentada à Administração, mapeando as soluções disponíveis no mercado e selecionando a alternativa mais aderente e vantajosa, conforme preceitua o art. 72, inciso I, da Lei Federal nº 14.133/2021:</w:t>
      </w:r>
    </w:p>
    <w:p w14:paraId="2C172D68" w14:textId="77777777" w:rsidR="0017296C" w:rsidRPr="00F2598B" w:rsidRDefault="0017296C" w:rsidP="0017296C">
      <w:pPr>
        <w:pStyle w:val="PargrafodaLista"/>
        <w:tabs>
          <w:tab w:val="left" w:pos="0"/>
        </w:tabs>
        <w:spacing w:line="360" w:lineRule="auto"/>
        <w:ind w:left="3545"/>
        <w:jc w:val="both"/>
        <w:rPr>
          <w:rFonts w:eastAsia="Calibri"/>
          <w:sz w:val="20"/>
          <w:szCs w:val="20"/>
        </w:rPr>
      </w:pPr>
      <w:r w:rsidRPr="00F2598B">
        <w:rPr>
          <w:rFonts w:eastAsia="Calibri"/>
          <w:sz w:val="20"/>
          <w:szCs w:val="20"/>
        </w:rPr>
        <w:t>“Art. 72. O processo de contratação direta, que compreende os casos de inexigibilidade e de dispensa de licitação, deverá ser instruído com os seguintes documentos:</w:t>
      </w:r>
    </w:p>
    <w:p w14:paraId="1035ADA6" w14:textId="77777777" w:rsidR="0017296C" w:rsidRPr="009C7108" w:rsidRDefault="0017296C" w:rsidP="0017296C">
      <w:pPr>
        <w:pStyle w:val="PargrafodaLista"/>
        <w:tabs>
          <w:tab w:val="left" w:pos="0"/>
        </w:tabs>
        <w:spacing w:line="360" w:lineRule="auto"/>
        <w:ind w:left="3545"/>
        <w:jc w:val="both"/>
        <w:rPr>
          <w:rFonts w:eastAsia="Calibri"/>
          <w:sz w:val="22"/>
          <w:szCs w:val="22"/>
        </w:rPr>
      </w:pPr>
      <w:r w:rsidRPr="00F2598B">
        <w:rPr>
          <w:rFonts w:eastAsia="Calibri"/>
          <w:sz w:val="20"/>
          <w:szCs w:val="20"/>
        </w:rPr>
        <w:t>I - documento de formalização de demanda e, se for o caso, estudo técnico preliminar, análise de riscos, termo de referência, projeto básico ou projeto executivo.”</w:t>
      </w:r>
    </w:p>
    <w:p w14:paraId="76537BFD" w14:textId="77777777" w:rsidR="0017296C" w:rsidRPr="009C7108"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lastRenderedPageBreak/>
        <w:t>Entretanto, conforme disposto no Decreto Municipal nº 663/2024, em seu art. 12, inciso II, fica dispensada a elaboração do ETP nas hipóteses dos incisos I e II do art. 75 da Lei nº 14.133/2021, bem como nos casos de prorrogações dos contratos de serviços e fornecimentos contínuos:</w:t>
      </w:r>
    </w:p>
    <w:p w14:paraId="7BC88C12" w14:textId="77777777" w:rsidR="0017296C" w:rsidRPr="00227851" w:rsidRDefault="0017296C" w:rsidP="0017296C">
      <w:pPr>
        <w:pStyle w:val="PargrafodaLista"/>
        <w:tabs>
          <w:tab w:val="left" w:pos="0"/>
        </w:tabs>
        <w:spacing w:line="360" w:lineRule="auto"/>
        <w:ind w:left="3545"/>
        <w:jc w:val="both"/>
        <w:rPr>
          <w:rFonts w:eastAsia="Calibri"/>
          <w:sz w:val="20"/>
          <w:szCs w:val="20"/>
        </w:rPr>
      </w:pPr>
      <w:r w:rsidRPr="00227851">
        <w:rPr>
          <w:rFonts w:eastAsia="Calibri"/>
          <w:sz w:val="20"/>
          <w:szCs w:val="20"/>
        </w:rPr>
        <w:t>“Art. 12. A elaboração do ETP:</w:t>
      </w:r>
    </w:p>
    <w:p w14:paraId="57B295C9" w14:textId="77777777" w:rsidR="0017296C" w:rsidRPr="00227851" w:rsidRDefault="0017296C" w:rsidP="0017296C">
      <w:pPr>
        <w:pStyle w:val="PargrafodaLista"/>
        <w:tabs>
          <w:tab w:val="left" w:pos="0"/>
        </w:tabs>
        <w:spacing w:line="360" w:lineRule="auto"/>
        <w:ind w:left="3545"/>
        <w:jc w:val="both"/>
        <w:rPr>
          <w:rFonts w:eastAsia="Calibri"/>
          <w:sz w:val="20"/>
          <w:szCs w:val="20"/>
        </w:rPr>
      </w:pPr>
      <w:r w:rsidRPr="00227851">
        <w:rPr>
          <w:rFonts w:eastAsia="Calibri"/>
          <w:sz w:val="20"/>
          <w:szCs w:val="20"/>
        </w:rPr>
        <w:t>II - é dispensada na hipótese do inciso I e II do art. 75 da Lei nº 14.133, de 2021, e nos casos de prorrogações dos contratos de serviços e fornecimentos contínuos.”</w:t>
      </w:r>
    </w:p>
    <w:p w14:paraId="7929149C" w14:textId="77777777" w:rsidR="0017296C"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No caso em análise, verifica-se a aplicação da exceção prevista no art. 12, inciso II, do Decreto Municipal nº 663/2024, razão pela qual não se faz obrigatória a elaboração do ETP, cabendo à Administração, por critério de conveniência e oportunidade, decidir quanto à sua confecção. Opta-se, portanto, por não elaborar o ETP neste caso.</w:t>
      </w:r>
    </w:p>
    <w:p w14:paraId="3808A7A6" w14:textId="77777777" w:rsidR="0017296C" w:rsidRPr="004B5364"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4B5364">
        <w:rPr>
          <w:rFonts w:eastAsia="Calibri"/>
          <w:sz w:val="22"/>
          <w:szCs w:val="22"/>
        </w:rPr>
        <w:t>A Análise de Risco, prevista no art. 6º, inciso XXVII da Lei nº 14.133/2021, bem como no art. 7º, §1º do Decreto Municipal nº 675/2024, visa identificar e mitigar eventuais riscos à contratação. Contudo, o art. 247, §4º do Decreto Municipal nº 675/2024, prevê que:</w:t>
      </w:r>
    </w:p>
    <w:p w14:paraId="3F145243" w14:textId="77777777" w:rsidR="0017296C" w:rsidRPr="001A0F88" w:rsidRDefault="0017296C" w:rsidP="0017296C">
      <w:pPr>
        <w:pStyle w:val="PargrafodaLista"/>
        <w:tabs>
          <w:tab w:val="left" w:pos="0"/>
        </w:tabs>
        <w:spacing w:line="360" w:lineRule="auto"/>
        <w:ind w:left="3545"/>
        <w:jc w:val="both"/>
        <w:rPr>
          <w:rFonts w:eastAsia="Calibri"/>
          <w:sz w:val="20"/>
          <w:szCs w:val="20"/>
        </w:rPr>
      </w:pPr>
      <w:r w:rsidRPr="001A0F88">
        <w:rPr>
          <w:rFonts w:eastAsia="Calibri"/>
          <w:sz w:val="20"/>
          <w:szCs w:val="20"/>
        </w:rPr>
        <w:t>“§ 1º. A elaboração do Estudo Técnico Preliminar e Matriz de Riscos será facultativa quando a simplicidade do objeto puder afastar a necessidade de Estudo Técnico Preliminar, o que deverá ser devidamente justificado no documento de formalização da demanda.”</w:t>
      </w:r>
    </w:p>
    <w:p w14:paraId="3AC841D9" w14:textId="509EA150" w:rsidR="0017296C" w:rsidRPr="0017296C" w:rsidRDefault="0017296C" w:rsidP="0017296C">
      <w:pPr>
        <w:pStyle w:val="PargrafodaLista"/>
        <w:numPr>
          <w:ilvl w:val="1"/>
          <w:numId w:val="7"/>
        </w:numPr>
        <w:tabs>
          <w:tab w:val="left" w:pos="0"/>
        </w:tabs>
        <w:spacing w:line="360" w:lineRule="auto"/>
        <w:ind w:left="0" w:firstLine="0"/>
        <w:jc w:val="both"/>
        <w:rPr>
          <w:rFonts w:eastAsia="Calibri"/>
          <w:sz w:val="22"/>
          <w:szCs w:val="22"/>
        </w:rPr>
      </w:pPr>
      <w:r w:rsidRPr="009C7108">
        <w:rPr>
          <w:rFonts w:eastAsia="Calibri"/>
          <w:sz w:val="22"/>
          <w:szCs w:val="22"/>
        </w:rPr>
        <w:t>Considerando a simplicidade do objeto e o baixo valor da contratação, bem como a ausência de complexidade técnica ou riscos relevantes que exijam maior aprofundamento, justifica-se a dispensa da Análise de Risco, nos termos legais e regulamentares supracitados.</w:t>
      </w:r>
    </w:p>
    <w:p w14:paraId="4991024B" w14:textId="77777777" w:rsidR="005B7E20" w:rsidRPr="00D85B3C" w:rsidRDefault="001A27B9" w:rsidP="00D85B3C">
      <w:pPr>
        <w:pStyle w:val="PargrafodaLista"/>
        <w:numPr>
          <w:ilvl w:val="0"/>
          <w:numId w:val="7"/>
        </w:numPr>
        <w:tabs>
          <w:tab w:val="left" w:pos="0"/>
        </w:tabs>
        <w:spacing w:line="360" w:lineRule="auto"/>
        <w:ind w:left="0" w:firstLine="0"/>
        <w:jc w:val="both"/>
        <w:rPr>
          <w:rFonts w:eastAsia="Calibri"/>
          <w:b/>
          <w:sz w:val="22"/>
          <w:szCs w:val="22"/>
        </w:rPr>
      </w:pPr>
      <w:r w:rsidRPr="00D85B3C">
        <w:rPr>
          <w:b/>
          <w:sz w:val="22"/>
          <w:szCs w:val="22"/>
        </w:rPr>
        <w:t xml:space="preserve">FUNDAMENTAÇÃO E DESCRIÇÃO DA NECESSIDADE DA CONTRATAÇÃO </w:t>
      </w:r>
    </w:p>
    <w:p w14:paraId="59AE69A0" w14:textId="77777777" w:rsidR="00C95AB9" w:rsidRPr="00C95AB9" w:rsidRDefault="00C95AB9" w:rsidP="00C95AB9">
      <w:pPr>
        <w:pStyle w:val="PargrafodaLista"/>
        <w:numPr>
          <w:ilvl w:val="1"/>
          <w:numId w:val="7"/>
        </w:numPr>
        <w:tabs>
          <w:tab w:val="left" w:pos="0"/>
          <w:tab w:val="left" w:pos="142"/>
        </w:tabs>
        <w:spacing w:line="360" w:lineRule="auto"/>
        <w:ind w:left="0" w:firstLine="0"/>
        <w:jc w:val="both"/>
        <w:rPr>
          <w:rFonts w:eastAsia="Calibri"/>
          <w:bCs/>
          <w:sz w:val="22"/>
          <w:szCs w:val="22"/>
        </w:rPr>
      </w:pPr>
      <w:r w:rsidRPr="00C95AB9">
        <w:rPr>
          <w:rFonts w:eastAsia="Calibri"/>
          <w:bCs/>
          <w:sz w:val="22"/>
          <w:szCs w:val="22"/>
        </w:rPr>
        <w:t>O Município de Catuji/MG, por meio da Secretaria Municipal de Cultura, Turismo e Esporte, tem interesse na efetiva inserção e valorização de suas ações culturais, esportivas e turísticas no âmbito do ICMS Patrimônio, instrumento instituído pelo Estado de Minas Gerais que visa incentivar políticas públicas nessas áreas por meio da redistribuição de parte da cota-parte do ICMS aos municípios que comprovem ações de preservação e promoção do patrimônio histórico-cultural, do esporte e do turismo local.</w:t>
      </w:r>
    </w:p>
    <w:p w14:paraId="13171285" w14:textId="77777777" w:rsidR="00C95AB9" w:rsidRPr="00C95AB9" w:rsidRDefault="00C95AB9" w:rsidP="00C95AB9">
      <w:pPr>
        <w:pStyle w:val="PargrafodaLista"/>
        <w:numPr>
          <w:ilvl w:val="1"/>
          <w:numId w:val="7"/>
        </w:numPr>
        <w:tabs>
          <w:tab w:val="left" w:pos="0"/>
          <w:tab w:val="left" w:pos="142"/>
        </w:tabs>
        <w:spacing w:line="360" w:lineRule="auto"/>
        <w:ind w:left="0" w:firstLine="0"/>
        <w:jc w:val="both"/>
        <w:rPr>
          <w:rFonts w:eastAsia="Calibri"/>
          <w:bCs/>
          <w:sz w:val="22"/>
          <w:szCs w:val="22"/>
        </w:rPr>
      </w:pPr>
      <w:r w:rsidRPr="00C95AB9">
        <w:rPr>
          <w:rFonts w:eastAsia="Calibri"/>
          <w:bCs/>
          <w:sz w:val="22"/>
          <w:szCs w:val="22"/>
        </w:rPr>
        <w:t>Contudo, o Município não dispõe, atualmente, de equipe técnica especializada no quadro permanente de servidores que detenha o conhecimento específico e atualizado sobre os critérios, prazos, procedimentos e documentação exigida para alimentação dos sistemas estaduais, elaboração dos dossiês e relatórios técnicos, bem como para o acompanhamento das etapas necessárias à habilitação e ao monitoramento junto aos órgãos responsáveis, a Secretaria de Estado de Cultura e Turismo e demais entidades envolvidas.</w:t>
      </w:r>
    </w:p>
    <w:p w14:paraId="3CC82E1D" w14:textId="5749340D" w:rsidR="00C95AB9" w:rsidRPr="00C95AB9" w:rsidRDefault="00C95AB9" w:rsidP="00C95AB9">
      <w:pPr>
        <w:pStyle w:val="PargrafodaLista"/>
        <w:numPr>
          <w:ilvl w:val="1"/>
          <w:numId w:val="7"/>
        </w:numPr>
        <w:tabs>
          <w:tab w:val="left" w:pos="0"/>
          <w:tab w:val="left" w:pos="142"/>
        </w:tabs>
        <w:spacing w:line="360" w:lineRule="auto"/>
        <w:ind w:left="0" w:firstLine="0"/>
        <w:jc w:val="both"/>
        <w:rPr>
          <w:rFonts w:eastAsia="Calibri"/>
          <w:bCs/>
          <w:sz w:val="22"/>
          <w:szCs w:val="22"/>
        </w:rPr>
      </w:pPr>
      <w:r w:rsidRPr="00C95AB9">
        <w:rPr>
          <w:rFonts w:eastAsia="Calibri"/>
          <w:bCs/>
          <w:sz w:val="22"/>
          <w:szCs w:val="22"/>
        </w:rPr>
        <w:t xml:space="preserve">Dessa forma, faz-se necessária a contratação de empresa especializada para oferecer suporte técnico, com foco no correto enquadramento do Município nas legislações estaduais, garantindo assim o acesso a receitas importantes para o fortalecimento das políticas públicas locais, evitando perdas financeiras e </w:t>
      </w:r>
      <w:r w:rsidRPr="00C95AB9">
        <w:rPr>
          <w:rFonts w:eastAsia="Calibri"/>
          <w:bCs/>
          <w:sz w:val="22"/>
          <w:szCs w:val="22"/>
        </w:rPr>
        <w:lastRenderedPageBreak/>
        <w:t>promovendo a valorização do patrimônio imaterial e material, das práticas esportivas e do potencial turístico do município.</w:t>
      </w:r>
    </w:p>
    <w:p w14:paraId="4811446F" w14:textId="77777777" w:rsidR="001D1A3E" w:rsidRPr="00D85B3C" w:rsidRDefault="001A27B9" w:rsidP="00D85B3C">
      <w:pPr>
        <w:pStyle w:val="PargrafodaLista"/>
        <w:numPr>
          <w:ilvl w:val="0"/>
          <w:numId w:val="7"/>
        </w:numPr>
        <w:tabs>
          <w:tab w:val="left" w:pos="0"/>
        </w:tabs>
        <w:spacing w:line="360" w:lineRule="auto"/>
        <w:ind w:left="0" w:firstLine="0"/>
        <w:jc w:val="both"/>
        <w:rPr>
          <w:rFonts w:eastAsia="Calibri"/>
          <w:b/>
          <w:sz w:val="22"/>
          <w:szCs w:val="22"/>
        </w:rPr>
      </w:pPr>
      <w:r w:rsidRPr="00D85B3C">
        <w:rPr>
          <w:b/>
          <w:sz w:val="22"/>
          <w:szCs w:val="22"/>
        </w:rPr>
        <w:t xml:space="preserve">DESCRIÇÃO DA SOLUÇÃO COMO UM TODO CONSIDERADO O CICLO DE VIDA </w:t>
      </w:r>
      <w:r w:rsidR="00FD224C" w:rsidRPr="00D85B3C">
        <w:rPr>
          <w:b/>
          <w:sz w:val="22"/>
          <w:szCs w:val="22"/>
        </w:rPr>
        <w:t>DO OBJETO</w:t>
      </w:r>
      <w:r w:rsidRPr="00D85B3C">
        <w:rPr>
          <w:b/>
          <w:sz w:val="22"/>
          <w:szCs w:val="22"/>
        </w:rPr>
        <w:t xml:space="preserve"> </w:t>
      </w:r>
    </w:p>
    <w:p w14:paraId="2F830422" w14:textId="77777777" w:rsidR="00C95AB9" w:rsidRPr="00AB7093" w:rsidRDefault="00C95AB9" w:rsidP="00C95AB9">
      <w:pPr>
        <w:pStyle w:val="PargrafodaLista"/>
        <w:numPr>
          <w:ilvl w:val="1"/>
          <w:numId w:val="7"/>
        </w:numPr>
        <w:spacing w:line="360" w:lineRule="auto"/>
        <w:ind w:left="0" w:firstLine="0"/>
        <w:jc w:val="both"/>
        <w:rPr>
          <w:sz w:val="22"/>
          <w:szCs w:val="22"/>
        </w:rPr>
      </w:pPr>
      <w:r w:rsidRPr="006029BF">
        <w:rPr>
          <w:sz w:val="22"/>
          <w:szCs w:val="22"/>
        </w:rPr>
        <w:t>A contratação considera todo o ciclo de vida do objeto, desde o diagnóstico inicial da situação do município quanto ao cumprimento das exigências legais e operacionais, até a execução, avaliação de resultados e sustentabilidade técnica das ações implementadas.</w:t>
      </w:r>
    </w:p>
    <w:p w14:paraId="50425BDA" w14:textId="77777777" w:rsidR="00C95AB9" w:rsidRDefault="00C95AB9" w:rsidP="00C95AB9">
      <w:pPr>
        <w:pStyle w:val="PargrafodaLista"/>
        <w:numPr>
          <w:ilvl w:val="1"/>
          <w:numId w:val="7"/>
        </w:numPr>
        <w:spacing w:line="360" w:lineRule="auto"/>
        <w:ind w:left="0" w:firstLine="0"/>
        <w:jc w:val="both"/>
        <w:rPr>
          <w:sz w:val="22"/>
          <w:szCs w:val="22"/>
        </w:rPr>
      </w:pPr>
      <w:r w:rsidRPr="006029BF">
        <w:rPr>
          <w:sz w:val="22"/>
          <w:szCs w:val="22"/>
        </w:rPr>
        <w:t>A empresa contratada será responsável por estruturar um plano de ação que contemple a organização documental, o cumprimento de critérios estabelecidos pelos órgãos estaduais competentes, bem como a alimentação adequada dos sistemas oficiais, como o Sistema ICMS Patrimônio Cultural e demais plataformas vinculadas à Secretaria de Estado de Cultura e Turismo. Ao longo da execução contratual, será prestado acompanhamento contínuo e especializado, com orientações técnicas, atualizações sistemáticas, monitoramento de prazos, elaboração de relatórios e suporte em eventuais diligências administrativas.</w:t>
      </w:r>
    </w:p>
    <w:p w14:paraId="1CCA8952" w14:textId="77777777" w:rsidR="00C95AB9" w:rsidRDefault="00C95AB9" w:rsidP="00C95AB9">
      <w:pPr>
        <w:pStyle w:val="PargrafodaLista"/>
        <w:numPr>
          <w:ilvl w:val="1"/>
          <w:numId w:val="7"/>
        </w:numPr>
        <w:spacing w:line="360" w:lineRule="auto"/>
        <w:ind w:left="0" w:firstLine="0"/>
        <w:jc w:val="both"/>
        <w:rPr>
          <w:sz w:val="22"/>
          <w:szCs w:val="22"/>
        </w:rPr>
      </w:pPr>
      <w:r w:rsidRPr="006029BF">
        <w:rPr>
          <w:sz w:val="22"/>
          <w:szCs w:val="22"/>
        </w:rPr>
        <w:t>Além disso, a solução contempla a entrega de resultados mensuráveis por meio de relatórios técnicos e a proposição de medidas corretivas ou de aprimoramento, sempre com o objetivo de garantir a manutenção da habilitação do município nos programas estaduais de incentivo. Um dos pilares dessa contratação é a transferência de conhecimento para a equipe da administração municipal, promovendo a capacitação dos servidores envolvidos, o que contribui para a redução da dependência externa e para a continuidade das ações mesmo após o encerramento do contrato.</w:t>
      </w:r>
    </w:p>
    <w:p w14:paraId="7599FCC5" w14:textId="3B9A8BB4" w:rsidR="00C95AB9" w:rsidRDefault="00C95AB9" w:rsidP="00C95AB9">
      <w:pPr>
        <w:pStyle w:val="PargrafodaLista"/>
        <w:numPr>
          <w:ilvl w:val="1"/>
          <w:numId w:val="7"/>
        </w:numPr>
        <w:spacing w:line="360" w:lineRule="auto"/>
        <w:ind w:left="0" w:firstLine="0"/>
        <w:jc w:val="both"/>
        <w:rPr>
          <w:sz w:val="22"/>
          <w:szCs w:val="22"/>
        </w:rPr>
      </w:pPr>
      <w:r w:rsidRPr="006029BF">
        <w:rPr>
          <w:sz w:val="22"/>
          <w:szCs w:val="22"/>
        </w:rPr>
        <w:t>Trata-se, portanto, de uma solução completa e estruturada, que não se limita à execução pontual de serviços, mas abrange todas as etapas necessárias para garantir a efetividade, a sustentabilidade e o retorno técnico e financeiro da política pública de captação dos recursos do ICMS Patrimônio, alinhada aos princípios do planejamento, da eficiência e da economicidade previstos na Lei nº 14.133/2021.</w:t>
      </w:r>
    </w:p>
    <w:p w14:paraId="790113B1" w14:textId="77777777" w:rsidR="00C95AB9" w:rsidRPr="00557B55" w:rsidRDefault="00C95AB9" w:rsidP="00C95AB9">
      <w:pPr>
        <w:pStyle w:val="PargrafodaLista"/>
        <w:numPr>
          <w:ilvl w:val="0"/>
          <w:numId w:val="7"/>
        </w:numPr>
        <w:tabs>
          <w:tab w:val="left" w:pos="0"/>
        </w:tabs>
        <w:spacing w:line="360" w:lineRule="auto"/>
        <w:ind w:left="0" w:firstLine="0"/>
        <w:jc w:val="both"/>
        <w:rPr>
          <w:b/>
          <w:sz w:val="22"/>
          <w:szCs w:val="22"/>
        </w:rPr>
      </w:pPr>
      <w:r w:rsidRPr="00557B55">
        <w:rPr>
          <w:b/>
          <w:sz w:val="22"/>
          <w:szCs w:val="22"/>
        </w:rPr>
        <w:t>JUSTIFICATIVA LICITAÇÃO EXCLUSIVA PARA MICRO EMPRESA, EPP e</w:t>
      </w:r>
      <w:r w:rsidRPr="00557B55">
        <w:rPr>
          <w:b/>
          <w:sz w:val="22"/>
          <w:szCs w:val="22"/>
          <w:lang w:val="pt-BR"/>
        </w:rPr>
        <w:t xml:space="preserve"> </w:t>
      </w:r>
      <w:r w:rsidRPr="00557B55">
        <w:rPr>
          <w:b/>
          <w:sz w:val="22"/>
          <w:szCs w:val="22"/>
        </w:rPr>
        <w:t>MEI</w:t>
      </w:r>
    </w:p>
    <w:p w14:paraId="395D6FC0" w14:textId="77777777" w:rsidR="00C95AB9" w:rsidRDefault="00C95AB9" w:rsidP="00C95AB9">
      <w:pPr>
        <w:pStyle w:val="PargrafodaLista"/>
        <w:numPr>
          <w:ilvl w:val="1"/>
          <w:numId w:val="7"/>
        </w:numPr>
        <w:tabs>
          <w:tab w:val="left" w:pos="0"/>
        </w:tabs>
        <w:autoSpaceDE w:val="0"/>
        <w:autoSpaceDN w:val="0"/>
        <w:adjustRightInd w:val="0"/>
        <w:spacing w:line="360" w:lineRule="auto"/>
        <w:ind w:left="0" w:firstLine="0"/>
        <w:jc w:val="both"/>
        <w:rPr>
          <w:color w:val="000000"/>
          <w:sz w:val="22"/>
          <w:szCs w:val="22"/>
        </w:rPr>
      </w:pPr>
      <w:r w:rsidRPr="003E75E2">
        <w:rPr>
          <w:color w:val="000000"/>
          <w:sz w:val="22"/>
          <w:szCs w:val="22"/>
        </w:rPr>
        <w:t>Conforme previsto no art. 48, inciso III e §3º da Lei Complementar nº 123/2006, regulamentado pelo art. 6º do Decreto nº 8.538/2015, os itens cujo valor estimado for igual ou inferior a R$ 80.000,00 (oitenta mil reais) serão destinados exclusivamente à participação de Microempresas (ME) e Empresas de Pequeno Porte (EPP).</w:t>
      </w:r>
    </w:p>
    <w:p w14:paraId="5094FBBB" w14:textId="77777777" w:rsidR="00C95AB9" w:rsidRPr="00317A37" w:rsidRDefault="00C95AB9" w:rsidP="00C95AB9">
      <w:pPr>
        <w:pStyle w:val="PargrafodaLista"/>
        <w:numPr>
          <w:ilvl w:val="1"/>
          <w:numId w:val="7"/>
        </w:numPr>
        <w:spacing w:line="360" w:lineRule="auto"/>
        <w:ind w:left="0" w:firstLine="0"/>
        <w:jc w:val="both"/>
        <w:rPr>
          <w:sz w:val="22"/>
          <w:szCs w:val="22"/>
        </w:rPr>
      </w:pPr>
      <w:r w:rsidRPr="00317A37">
        <w:rPr>
          <w:color w:val="000000"/>
          <w:sz w:val="22"/>
          <w:szCs w:val="22"/>
        </w:rPr>
        <w:t>A condição de ME ou EPP deverá ser comprovada por meio de documentação hábil no momento da habilitação, conforme previsto na legislação aplicável.</w:t>
      </w:r>
    </w:p>
    <w:p w14:paraId="47657377" w14:textId="3A0864E5" w:rsidR="00047017" w:rsidRPr="00D85B3C" w:rsidRDefault="001A27B9" w:rsidP="00D85B3C">
      <w:pPr>
        <w:pStyle w:val="PargrafodaLista"/>
        <w:numPr>
          <w:ilvl w:val="0"/>
          <w:numId w:val="7"/>
        </w:numPr>
        <w:tabs>
          <w:tab w:val="left" w:pos="0"/>
        </w:tabs>
        <w:spacing w:line="360" w:lineRule="auto"/>
        <w:ind w:left="0" w:firstLine="0"/>
        <w:jc w:val="both"/>
        <w:rPr>
          <w:b/>
          <w:sz w:val="22"/>
          <w:szCs w:val="22"/>
        </w:rPr>
      </w:pPr>
      <w:r w:rsidRPr="00D85B3C">
        <w:rPr>
          <w:b/>
          <w:sz w:val="22"/>
          <w:szCs w:val="22"/>
        </w:rPr>
        <w:t xml:space="preserve">REQUISITOS DA CONTRATAÇÃO </w:t>
      </w:r>
    </w:p>
    <w:p w14:paraId="2C754899" w14:textId="77777777" w:rsidR="00C95AB9" w:rsidRDefault="00C95AB9" w:rsidP="00C95AB9">
      <w:pPr>
        <w:pStyle w:val="PargrafodaLista"/>
        <w:numPr>
          <w:ilvl w:val="1"/>
          <w:numId w:val="7"/>
        </w:numPr>
        <w:spacing w:line="360" w:lineRule="auto"/>
        <w:ind w:left="0" w:firstLine="0"/>
        <w:jc w:val="both"/>
        <w:rPr>
          <w:sz w:val="22"/>
          <w:szCs w:val="22"/>
          <w:lang w:val="pt-BR"/>
        </w:rPr>
      </w:pPr>
      <w:r w:rsidRPr="006029BF">
        <w:rPr>
          <w:sz w:val="22"/>
          <w:szCs w:val="22"/>
          <w:lang w:val="pt-BR"/>
        </w:rPr>
        <w:t xml:space="preserve">Não se aplicam à presente contratação os critérios de sustentabilidade estabelecidos na Instrução Normativa nº 01/2010 STI/MPOG, bem como no Decreto nº 7.746/2012 que estabelece critérios, práticas e </w:t>
      </w:r>
      <w:r w:rsidRPr="006029BF">
        <w:rPr>
          <w:sz w:val="22"/>
          <w:szCs w:val="22"/>
          <w:lang w:val="pt-BR"/>
        </w:rPr>
        <w:lastRenderedPageBreak/>
        <w:t>diretrizes para a promoção do desenvolvimento nacional sustentável e a Lei º 12.305/2010 que institui a política de resíduos sólidos.</w:t>
      </w:r>
    </w:p>
    <w:p w14:paraId="2A6EEE60" w14:textId="77777777" w:rsidR="00C95AB9" w:rsidRPr="006029BF" w:rsidRDefault="00C95AB9" w:rsidP="00C95AB9">
      <w:pPr>
        <w:pStyle w:val="PargrafodaLista"/>
        <w:numPr>
          <w:ilvl w:val="1"/>
          <w:numId w:val="7"/>
        </w:numPr>
        <w:spacing w:line="360" w:lineRule="auto"/>
        <w:ind w:left="0" w:firstLine="0"/>
        <w:jc w:val="both"/>
        <w:rPr>
          <w:sz w:val="22"/>
          <w:szCs w:val="22"/>
          <w:lang w:val="pt-BR"/>
        </w:rPr>
      </w:pPr>
      <w:r w:rsidRPr="006029BF">
        <w:rPr>
          <w:sz w:val="22"/>
          <w:szCs w:val="22"/>
          <w:lang w:val="pt-BR"/>
        </w:rPr>
        <w:t>Não será admitida a subcontratação do objeto contratual.</w:t>
      </w:r>
    </w:p>
    <w:p w14:paraId="7CBB95B7" w14:textId="77777777" w:rsidR="00C95AB9" w:rsidRPr="006029BF" w:rsidRDefault="00C95AB9" w:rsidP="00C95AB9">
      <w:pPr>
        <w:pStyle w:val="PargrafodaLista"/>
        <w:numPr>
          <w:ilvl w:val="1"/>
          <w:numId w:val="7"/>
        </w:numPr>
        <w:spacing w:line="360" w:lineRule="auto"/>
        <w:ind w:left="0" w:firstLine="0"/>
        <w:jc w:val="both"/>
        <w:rPr>
          <w:sz w:val="22"/>
          <w:szCs w:val="22"/>
          <w:lang w:val="pt-BR"/>
        </w:rPr>
      </w:pPr>
      <w:r w:rsidRPr="006029BF">
        <w:rPr>
          <w:sz w:val="22"/>
          <w:szCs w:val="22"/>
          <w:lang w:val="pt-BR"/>
        </w:rPr>
        <w:t xml:space="preserve">Não haverá exigência da garantia da contratação dos </w:t>
      </w:r>
      <w:proofErr w:type="spellStart"/>
      <w:r w:rsidRPr="006029BF">
        <w:rPr>
          <w:sz w:val="22"/>
          <w:szCs w:val="22"/>
          <w:lang w:val="pt-BR"/>
        </w:rPr>
        <w:t>arts</w:t>
      </w:r>
      <w:proofErr w:type="spellEnd"/>
      <w:r w:rsidRPr="006029BF">
        <w:rPr>
          <w:sz w:val="22"/>
          <w:szCs w:val="22"/>
          <w:lang w:val="pt-BR"/>
        </w:rPr>
        <w:t>. 96 e seguintes da Lei nº 14.133/21.</w:t>
      </w:r>
    </w:p>
    <w:p w14:paraId="436B7A34" w14:textId="77777777" w:rsidR="00C95AB9"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A contratada deverá possuir comprovação de experiência técnica compatível com o objeto, por meio de atestados de capacidade técnica emitidos por pessoas jurídicas de direito público ou privado, que demonstrem a execução anterior de serviços semelhantes aos ora contratados, especialmente relacionados à captação de recursos do ICMS Patrimônio Cultural, Esportivo e/ou Turístico, no âmbito do Estado de Minas Gerais.</w:t>
      </w:r>
      <w:r w:rsidRPr="006029BF">
        <w:rPr>
          <w:sz w:val="22"/>
          <w:szCs w:val="22"/>
          <w:lang w:val="pt-BR"/>
        </w:rPr>
        <w:t xml:space="preserve"> </w:t>
      </w:r>
    </w:p>
    <w:p w14:paraId="0D3BE5F3" w14:textId="77777777" w:rsidR="00C95AB9"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 xml:space="preserve">A equipe designada pela empresa deverá ser composta por profissionais com qualificação comprovada, </w:t>
      </w:r>
      <w:r>
        <w:rPr>
          <w:sz w:val="22"/>
          <w:szCs w:val="22"/>
          <w:lang w:val="pt-BR"/>
        </w:rPr>
        <w:t xml:space="preserve">nas </w:t>
      </w:r>
      <w:r w:rsidRPr="00E1447E">
        <w:rPr>
          <w:sz w:val="22"/>
          <w:szCs w:val="22"/>
          <w:lang w:val="pt-BR"/>
        </w:rPr>
        <w:t>áreas de patrimônio cultural, turismo, esporte, gestão pública ou afins, preferencialmente com experiência em elaboração de dossiês, relatórios técnicos, inventários e demais documentos exigidos pelos órgãos estaduais competentes, tais como o Instituto Estadual do Patrimônio Histórico e Artístico de Minas Gerais – IEPHA/MG e a Secretaria de Estado de Cultura e Turismo de Minas Gerais.</w:t>
      </w:r>
    </w:p>
    <w:p w14:paraId="4DF15293" w14:textId="77777777" w:rsidR="00C95AB9"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A contratada deverá assegurar o acompanhamento técnico contínuo durante toda a vigência contratual, com atendimento periódico e sob demanda, via reuniões presenciais e/ou remotas, prestando suporte à equipe da Secretaria Municipal de Cultura, Turismo e Esporte, com orientações, revisão de documentos, alertas de prazos e apoio na alimentação de sistemas estaduais.</w:t>
      </w:r>
    </w:p>
    <w:p w14:paraId="3DF9AD31" w14:textId="77777777" w:rsidR="00C95AB9"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Deverá também apresentar relatórios técnicos mensais e final, demonstrando as ações executadas, os avanços obtidos, as pendências e as recomendações para continuidade das atividades. A empresa deve garantir sigilo e responsabilidade técnica sobre os documentos produzidos, bem como disponibilidade de atendimento em tempo hábil sempre que solicitado pelo município.</w:t>
      </w:r>
    </w:p>
    <w:p w14:paraId="2E75F7D6" w14:textId="77777777" w:rsidR="00C95AB9" w:rsidRPr="00E1447E"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A solução deverá ainda contemplar a transferência de conhecimento à equipe local, por meio de orientações práticas, suporte técnico e promoção de ações que contribuam para a formação e autonomia dos servidores públicos envolvidos no processo de gestão do ICMS Patrimônio Cultural, Esportivo e Turístico.</w:t>
      </w:r>
    </w:p>
    <w:p w14:paraId="7877F169" w14:textId="429D6360" w:rsidR="00C95AB9" w:rsidRPr="00C95AB9" w:rsidRDefault="00C95AB9" w:rsidP="00C95AB9">
      <w:pPr>
        <w:pStyle w:val="PargrafodaLista"/>
        <w:numPr>
          <w:ilvl w:val="1"/>
          <w:numId w:val="7"/>
        </w:numPr>
        <w:spacing w:line="360" w:lineRule="auto"/>
        <w:ind w:left="0" w:firstLine="0"/>
        <w:jc w:val="both"/>
        <w:rPr>
          <w:sz w:val="22"/>
          <w:szCs w:val="22"/>
          <w:lang w:val="pt-BR"/>
        </w:rPr>
      </w:pPr>
      <w:r w:rsidRPr="00E1447E">
        <w:rPr>
          <w:sz w:val="22"/>
          <w:szCs w:val="22"/>
          <w:lang w:val="pt-BR"/>
        </w:rPr>
        <w:t>Todos os serviços deverão ser executados com observância às normas técnicas aplicáveis, bem como às diretrizes e exigências estabelecidas pelos órgãos estaduais responsáveis pela política pública em questão.</w:t>
      </w:r>
    </w:p>
    <w:p w14:paraId="1BDF3C2A" w14:textId="075DF459" w:rsidR="00D61F7E" w:rsidRPr="00D85B3C" w:rsidRDefault="00AC0437" w:rsidP="00D85B3C">
      <w:pPr>
        <w:pStyle w:val="PargrafodaLista"/>
        <w:numPr>
          <w:ilvl w:val="0"/>
          <w:numId w:val="7"/>
        </w:numPr>
        <w:tabs>
          <w:tab w:val="left" w:pos="0"/>
        </w:tabs>
        <w:spacing w:line="360" w:lineRule="auto"/>
        <w:ind w:left="0" w:firstLine="0"/>
        <w:jc w:val="both"/>
        <w:rPr>
          <w:rFonts w:eastAsia="Calibri"/>
          <w:sz w:val="22"/>
          <w:szCs w:val="22"/>
        </w:rPr>
      </w:pPr>
      <w:r w:rsidRPr="00D85B3C">
        <w:rPr>
          <w:b/>
          <w:sz w:val="22"/>
          <w:szCs w:val="22"/>
        </w:rPr>
        <w:t>DA</w:t>
      </w:r>
      <w:r w:rsidR="001A27B9" w:rsidRPr="00D85B3C">
        <w:rPr>
          <w:b/>
          <w:sz w:val="22"/>
          <w:szCs w:val="22"/>
        </w:rPr>
        <w:t xml:space="preserve"> EXECUÇÃO CONTRATUAL</w:t>
      </w:r>
    </w:p>
    <w:p w14:paraId="52966A98" w14:textId="77777777" w:rsidR="00D61F7E" w:rsidRPr="00D85B3C" w:rsidRDefault="007248F5" w:rsidP="00D85B3C">
      <w:pPr>
        <w:pStyle w:val="PargrafodaLista"/>
        <w:numPr>
          <w:ilvl w:val="1"/>
          <w:numId w:val="7"/>
        </w:numPr>
        <w:tabs>
          <w:tab w:val="left" w:pos="0"/>
          <w:tab w:val="left" w:pos="142"/>
        </w:tabs>
        <w:spacing w:line="360" w:lineRule="auto"/>
        <w:ind w:left="0" w:firstLine="0"/>
        <w:jc w:val="both"/>
        <w:rPr>
          <w:sz w:val="22"/>
          <w:szCs w:val="22"/>
        </w:rPr>
      </w:pPr>
      <w:r w:rsidRPr="00D85B3C">
        <w:rPr>
          <w:sz w:val="22"/>
          <w:szCs w:val="22"/>
        </w:rPr>
        <w:t>A execução do objeto seguirá a seguinte dinâmica:</w:t>
      </w:r>
    </w:p>
    <w:p w14:paraId="4AE95994" w14:textId="77777777" w:rsidR="004172EB" w:rsidRPr="00D85B3C" w:rsidRDefault="007248F5"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rPr>
        <w:t xml:space="preserve">Início da execução do objeto: </w:t>
      </w:r>
      <w:r w:rsidR="00827B12" w:rsidRPr="00D85B3C">
        <w:rPr>
          <w:sz w:val="22"/>
          <w:szCs w:val="22"/>
        </w:rPr>
        <w:t>05 (cinco)</w:t>
      </w:r>
      <w:r w:rsidRPr="00D85B3C">
        <w:rPr>
          <w:sz w:val="22"/>
          <w:szCs w:val="22"/>
        </w:rPr>
        <w:t xml:space="preserve"> dias da emissão da ordem de serviço;</w:t>
      </w:r>
    </w:p>
    <w:p w14:paraId="434D0F57" w14:textId="7A1D1F33" w:rsidR="00A85BC9" w:rsidRPr="00D85B3C" w:rsidRDefault="007C779C"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lang w:val="pt-BR"/>
        </w:rPr>
        <w:t xml:space="preserve">Deverá realizar </w:t>
      </w:r>
      <w:r w:rsidR="00007C8C" w:rsidRPr="00D85B3C">
        <w:rPr>
          <w:sz w:val="22"/>
          <w:szCs w:val="22"/>
          <w:lang w:val="pt-BR"/>
        </w:rPr>
        <w:t xml:space="preserve">visitas in loco, quinzenalmente e por meio de consultas por: telefone, fax, e-mail, </w:t>
      </w:r>
      <w:proofErr w:type="spellStart"/>
      <w:r w:rsidR="00007C8C" w:rsidRPr="00D85B3C">
        <w:rPr>
          <w:sz w:val="22"/>
          <w:szCs w:val="22"/>
          <w:lang w:val="pt-BR"/>
        </w:rPr>
        <w:t>whattsapp</w:t>
      </w:r>
      <w:proofErr w:type="spellEnd"/>
      <w:r w:rsidR="00007C8C" w:rsidRPr="00D85B3C">
        <w:rPr>
          <w:sz w:val="22"/>
          <w:szCs w:val="22"/>
          <w:lang w:val="pt-BR"/>
        </w:rPr>
        <w:t>; e sob convocação discutida a necessidade entre o município e a empresa, sendo comunicado com pelo menos 48 horas de antecedência</w:t>
      </w:r>
      <w:r w:rsidR="00B74DB0" w:rsidRPr="00D85B3C">
        <w:rPr>
          <w:sz w:val="22"/>
          <w:szCs w:val="22"/>
          <w:lang w:val="pt-BR"/>
        </w:rPr>
        <w:t>.</w:t>
      </w:r>
    </w:p>
    <w:p w14:paraId="19D359EC" w14:textId="3B867D23" w:rsidR="00007C8C" w:rsidRPr="00D85B3C" w:rsidRDefault="00007C8C"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lang w:val="pt-BR"/>
        </w:rPr>
        <w:lastRenderedPageBreak/>
        <w:t>Deverá realizar reuniões quinzenalmente, com os funcionários do setor de Patrimônio e pessoas estratégicas da Prefeitura para análise do andamento do Serviço.</w:t>
      </w:r>
    </w:p>
    <w:p w14:paraId="45D633E9" w14:textId="2BE5E23E"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lang w:val="pt-BR"/>
        </w:rPr>
        <w:t>Deverá realizar</w:t>
      </w:r>
      <w:r w:rsidRPr="00D85B3C">
        <w:rPr>
          <w:sz w:val="22"/>
          <w:szCs w:val="22"/>
        </w:rPr>
        <w:t xml:space="preserve"> no mínimo 04 (quatro) Capacitações no ano “in loco” e espaçados, de acordo com a programação de datas da Secretaria, ligadas à área do Patrimônio Cultural</w:t>
      </w:r>
      <w:r w:rsidR="00BA60B6" w:rsidRPr="00D85B3C">
        <w:rPr>
          <w:sz w:val="22"/>
          <w:szCs w:val="22"/>
          <w:lang w:val="pt-BR"/>
        </w:rPr>
        <w:t xml:space="preserve">, Turismo e Esporte </w:t>
      </w:r>
      <w:r w:rsidRPr="00D85B3C">
        <w:rPr>
          <w:sz w:val="22"/>
          <w:szCs w:val="22"/>
        </w:rPr>
        <w:t xml:space="preserve">principalmente para os públicos-alvo: (funcionários do setor da </w:t>
      </w:r>
      <w:r w:rsidR="00BA60B6" w:rsidRPr="00D85B3C">
        <w:rPr>
          <w:sz w:val="22"/>
          <w:szCs w:val="22"/>
          <w:lang w:val="pt-BR"/>
        </w:rPr>
        <w:t>Cultural, Turismo e Esporte</w:t>
      </w:r>
      <w:r w:rsidRPr="00D85B3C">
        <w:rPr>
          <w:sz w:val="22"/>
          <w:szCs w:val="22"/>
        </w:rPr>
        <w:t xml:space="preserve">; Conselho Municipal do Patrimônio </w:t>
      </w:r>
      <w:r w:rsidR="00BA60B6" w:rsidRPr="00D85B3C">
        <w:rPr>
          <w:sz w:val="22"/>
          <w:szCs w:val="22"/>
          <w:lang w:val="pt-BR"/>
        </w:rPr>
        <w:t>Cultural, Turismo e Esporte</w:t>
      </w:r>
      <w:r w:rsidRPr="00D85B3C">
        <w:rPr>
          <w:sz w:val="22"/>
          <w:szCs w:val="22"/>
        </w:rPr>
        <w:t xml:space="preserve">, profissionais da área e Servidores Municipais do município), </w:t>
      </w:r>
    </w:p>
    <w:p w14:paraId="45923DFF" w14:textId="3FDF2430"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lang w:val="pt-BR"/>
        </w:rPr>
        <w:t>Deverá realizar</w:t>
      </w:r>
      <w:r w:rsidRPr="00D85B3C">
        <w:rPr>
          <w:sz w:val="22"/>
          <w:szCs w:val="22"/>
        </w:rPr>
        <w:t xml:space="preserve"> no mínimo, 2 (duas) reuniões mensais no município com a equipe do setor de patrimônio cultural responsável pelo desenvolvimento das atividades e Secretarias e setores que acompanharão o trabalho; </w:t>
      </w:r>
    </w:p>
    <w:p w14:paraId="0CA5D23E" w14:textId="37B8238F" w:rsidR="00B74DB0" w:rsidRPr="00D85B3C" w:rsidRDefault="00B74DB0"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rPr>
        <w:t xml:space="preserve">A Contratada deverá manter, durante a contratação, todas as condições exigidas na fase de habilitação da licitação. </w:t>
      </w:r>
    </w:p>
    <w:p w14:paraId="507F3D22" w14:textId="2E38E3BE" w:rsidR="00B74DB0" w:rsidRPr="00D85B3C" w:rsidRDefault="00B74DB0"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rPr>
        <w:t xml:space="preserve">A descrição detalhada dos métodos, rotinas, etapas, tecnologias procedimentos, frequência e periodicidade de execução do trabalho estão previstas nos Projetos supramencionados, constantes nos Apêndices deste Termo de Referência. </w:t>
      </w:r>
    </w:p>
    <w:p w14:paraId="1326566C" w14:textId="3DC0E0FB" w:rsidR="00B74DB0" w:rsidRPr="00D85B3C" w:rsidRDefault="00B74DB0"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rPr>
        <w:t xml:space="preserve">Os trabalhos realizados deverão ser entregues em copias digitais em WORD, PDF, EXCEL e física ao </w:t>
      </w:r>
      <w:r w:rsidR="0069683A" w:rsidRPr="00D85B3C">
        <w:rPr>
          <w:sz w:val="22"/>
          <w:szCs w:val="22"/>
          <w:lang w:val="pt-BR"/>
        </w:rPr>
        <w:t xml:space="preserve">Secretaria Municipal de Cultura e Turismo e Secretaria Municipal de Esporte </w:t>
      </w:r>
      <w:r w:rsidRPr="00D85B3C">
        <w:rPr>
          <w:sz w:val="22"/>
          <w:szCs w:val="22"/>
        </w:rPr>
        <w:t xml:space="preserve">o envio será para o e-mail: </w:t>
      </w:r>
      <w:hyperlink r:id="rId8" w:history="1">
        <w:r w:rsidR="0069683A" w:rsidRPr="00D85B3C">
          <w:rPr>
            <w:rStyle w:val="Hyperlink"/>
            <w:sz w:val="22"/>
            <w:szCs w:val="22"/>
            <w:lang w:val="pt-BR"/>
          </w:rPr>
          <w:t>cultura</w:t>
        </w:r>
        <w:r w:rsidR="0069683A" w:rsidRPr="00D85B3C">
          <w:rPr>
            <w:rStyle w:val="Hyperlink"/>
            <w:sz w:val="22"/>
            <w:szCs w:val="22"/>
          </w:rPr>
          <w:t>@catuji.mg.gov.br</w:t>
        </w:r>
      </w:hyperlink>
      <w:r w:rsidRPr="00D85B3C">
        <w:rPr>
          <w:sz w:val="22"/>
          <w:szCs w:val="22"/>
          <w:lang w:val="pt-BR"/>
        </w:rPr>
        <w:t>.</w:t>
      </w:r>
    </w:p>
    <w:p w14:paraId="7655920D" w14:textId="10CF7EC3" w:rsidR="00B74DB0" w:rsidRPr="00D85B3C" w:rsidRDefault="00B74DB0" w:rsidP="00D85B3C">
      <w:pPr>
        <w:pStyle w:val="PargrafodaLista"/>
        <w:numPr>
          <w:ilvl w:val="2"/>
          <w:numId w:val="7"/>
        </w:numPr>
        <w:tabs>
          <w:tab w:val="left" w:pos="0"/>
          <w:tab w:val="left" w:pos="142"/>
        </w:tabs>
        <w:spacing w:line="360" w:lineRule="auto"/>
        <w:ind w:left="0" w:firstLine="0"/>
        <w:jc w:val="both"/>
        <w:rPr>
          <w:sz w:val="22"/>
          <w:szCs w:val="22"/>
        </w:rPr>
      </w:pPr>
      <w:r w:rsidRPr="00D85B3C">
        <w:rPr>
          <w:sz w:val="22"/>
          <w:szCs w:val="22"/>
        </w:rPr>
        <w:t xml:space="preserve">Os serviços serão prestados </w:t>
      </w:r>
      <w:r w:rsidRPr="009F2D68">
        <w:rPr>
          <w:sz w:val="22"/>
          <w:szCs w:val="22"/>
        </w:rPr>
        <w:t xml:space="preserve">no seguinte endereço </w:t>
      </w:r>
      <w:r w:rsidR="00324A97" w:rsidRPr="009F2D68">
        <w:rPr>
          <w:sz w:val="22"/>
          <w:szCs w:val="22"/>
          <w:lang w:val="pt-BR"/>
        </w:rPr>
        <w:t>Rua dos Esportes</w:t>
      </w:r>
      <w:r w:rsidRPr="009F2D68">
        <w:rPr>
          <w:sz w:val="22"/>
          <w:szCs w:val="22"/>
        </w:rPr>
        <w:t xml:space="preserve">, nº </w:t>
      </w:r>
      <w:r w:rsidR="00324A97" w:rsidRPr="009F2D68">
        <w:rPr>
          <w:sz w:val="22"/>
          <w:szCs w:val="22"/>
          <w:lang w:val="pt-BR"/>
        </w:rPr>
        <w:t>165</w:t>
      </w:r>
      <w:r w:rsidRPr="009F2D68">
        <w:rPr>
          <w:sz w:val="22"/>
          <w:szCs w:val="22"/>
        </w:rPr>
        <w:t xml:space="preserve">, </w:t>
      </w:r>
      <w:r w:rsidR="00324A97" w:rsidRPr="009F2D68">
        <w:rPr>
          <w:sz w:val="22"/>
          <w:szCs w:val="22"/>
          <w:lang w:val="pt-BR"/>
        </w:rPr>
        <w:t>Saudade</w:t>
      </w:r>
      <w:r w:rsidRPr="009F2D68">
        <w:rPr>
          <w:sz w:val="22"/>
          <w:szCs w:val="22"/>
        </w:rPr>
        <w:t xml:space="preserve"> no Município de Catuji/MG.</w:t>
      </w:r>
    </w:p>
    <w:p w14:paraId="4BD0F8A7" w14:textId="0C29D15C" w:rsidR="00B74DB0" w:rsidRPr="00D85B3C" w:rsidRDefault="00B74DB0" w:rsidP="00D85B3C">
      <w:pPr>
        <w:pStyle w:val="PargrafodaLista"/>
        <w:numPr>
          <w:ilvl w:val="1"/>
          <w:numId w:val="7"/>
        </w:numPr>
        <w:tabs>
          <w:tab w:val="left" w:pos="0"/>
          <w:tab w:val="left" w:pos="142"/>
        </w:tabs>
        <w:spacing w:line="360" w:lineRule="auto"/>
        <w:ind w:left="0" w:firstLine="0"/>
        <w:jc w:val="both"/>
        <w:rPr>
          <w:sz w:val="22"/>
          <w:szCs w:val="22"/>
        </w:rPr>
      </w:pPr>
      <w:r w:rsidRPr="00D85B3C">
        <w:rPr>
          <w:sz w:val="22"/>
          <w:szCs w:val="22"/>
        </w:rPr>
        <w:t xml:space="preserve">A demanda do órgão tem como base as seguintes características: </w:t>
      </w:r>
    </w:p>
    <w:p w14:paraId="75FF8D46" w14:textId="77777777" w:rsidR="00007C8C" w:rsidRPr="00B407CD" w:rsidRDefault="00007C8C" w:rsidP="00D85B3C">
      <w:pPr>
        <w:pStyle w:val="PargrafodaLista"/>
        <w:numPr>
          <w:ilvl w:val="2"/>
          <w:numId w:val="7"/>
        </w:numPr>
        <w:tabs>
          <w:tab w:val="left" w:pos="0"/>
          <w:tab w:val="left" w:pos="142"/>
        </w:tabs>
        <w:spacing w:line="360" w:lineRule="auto"/>
        <w:ind w:left="0" w:firstLine="0"/>
        <w:jc w:val="both"/>
        <w:rPr>
          <w:b/>
          <w:bCs/>
          <w:sz w:val="22"/>
          <w:szCs w:val="22"/>
        </w:rPr>
      </w:pPr>
      <w:bookmarkStart w:id="1" w:name="_Hlk170811672"/>
      <w:r w:rsidRPr="00B407CD">
        <w:rPr>
          <w:b/>
          <w:bCs/>
          <w:sz w:val="22"/>
          <w:szCs w:val="22"/>
        </w:rPr>
        <w:t>Patrimônio Cultural</w:t>
      </w:r>
    </w:p>
    <w:bookmarkEnd w:id="1"/>
    <w:p w14:paraId="666E370F" w14:textId="77777777"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 empresa prestará Atividade de Assessoria no desenvolvimento das ações realizadas pelo município e preparação de documentação referente às ações que podem ser realizadas pelo município para obtenção de recursos do ICMS - Patrimônio Cultural, seguindo criteriosamente todas as regras expressas na Deliberação do CONEP, vigente. </w:t>
      </w:r>
    </w:p>
    <w:p w14:paraId="49897C21" w14:textId="77777777"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 empresa deverá assessorar na formalização e organização de toda a documentação fornecida pelo município, em pastas a serem enviadas aos Órgãos competentes ou pelos meios definidos pelas Legislações pertinentes, enquanto o contrato estiver vigente com a Contratada. </w:t>
      </w:r>
    </w:p>
    <w:p w14:paraId="56800EF8" w14:textId="77777777"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Realizar treinamento no município da equipe do setor de patrimônio cultural do município.</w:t>
      </w:r>
    </w:p>
    <w:p w14:paraId="6B65E8EA" w14:textId="77777777" w:rsidR="00007C8C"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 A empresa deverá emitir e encaminhar para o Setor responsável do município e para os e-mails definidos pelo Executivo que acompanharão a execução do Contrato relatórios semanais de acompanhamento do andamento das ações realizadas pelo município e dos documentos que comporão o processo. </w:t>
      </w:r>
    </w:p>
    <w:p w14:paraId="767F5DE6" w14:textId="77777777"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Política municipal de proteção ao patrimônio cultural e outras ações: Deve ser organizada toda a documentação referente à política municipal de patrimônio, bem como atentar-se para a “Tabela de Pontuação </w:t>
      </w:r>
      <w:r w:rsidRPr="00D85B3C">
        <w:rPr>
          <w:sz w:val="22"/>
          <w:szCs w:val="22"/>
        </w:rPr>
        <w:lastRenderedPageBreak/>
        <w:t xml:space="preserve">do Setor de Patrimônio Cultural Municipal” da deliberação do CONEP vigente, assessorando a Secretaria Municipal na realização das atividades e montagem da documentação comprobatória. </w:t>
      </w:r>
    </w:p>
    <w:p w14:paraId="1272EBBC" w14:textId="77777777"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 empresa deverá assessorar na confecção de forma clara e com precisão todos os anexos constantes na Deliberação e anexá-los ao “Sistema do ICMS critério Patrimônio Cultural”, bem como todos os demais documentos solicitados no referido Sistema, observando criteriosamente os prazos estabelecidos na Norma vigente; Investimentos e despesas financeiras em bens culturais protegidos. </w:t>
      </w:r>
    </w:p>
    <w:p w14:paraId="1BFC631C" w14:textId="77777777"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A assessoria deve orientar na gestão dos recursos do Fundo Municipal de Preservação do Patrimônio Cultural e organizar a devida documentação repassada pelo município, levando-se em consideração as decisões da Secretaria Municipal e o Setor de Preservação do Patrimônio Cultural.</w:t>
      </w:r>
    </w:p>
    <w:p w14:paraId="3516388A" w14:textId="77777777"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na análise, planejamento, elaboração e execução do Inventário de Proteção do Patrimônio Cultural. </w:t>
      </w:r>
    </w:p>
    <w:p w14:paraId="01295BE2" w14:textId="77777777"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Assessorar no desenvolvimento de todas as etapas em andamento ou incompletas do Cronograma de Inventário enviado ao IEPHA no último exercício. As fichas de inventário que porventura faltarem deverão ser confeccionadas e dado andamento de todo e quaisquer procedimentos para a continuidade das ações.</w:t>
      </w:r>
    </w:p>
    <w:p w14:paraId="1327911F" w14:textId="33211A4C" w:rsidR="000C09B0"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Tombamentos: Orientar e avaliar, de acordo com a Secretaria da Prefeitura responsável e o Conselho Municipal de Proteção do Patrimônio Cultural (COMPAC) a possibilidade de dar início a trabalhos voltados ao tombamento de bens materiais e, caso haja decisão favorável da referida Secretaria e do COMPAC, orientar sobre os procedimentos necessários para realizar os estudos, parte técnica e legal necessárias. Não estando incluídos nesta proposta a montagem de processo de tombamento, dossiês ou acompanhamento de tombamentos.</w:t>
      </w:r>
    </w:p>
    <w:p w14:paraId="75257CC5"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 Registro de Bens Imateriais: Orientar e avaliar, de acordo com a Secretaria da Prefeitura responsável e o Conselho Municipal de Proteção do Patrimônio Cultural (COMPAC) a possibilidade de dar início a trabalhos voltados ao registro de bens imateriais, e, caso haja decisão favorável da referida Secretaria e do COMPAC, orientar sobre os procedimentos necessários para realizar os estudos, parte técnica e legal necessárias. NÃO estando incluídos nesta proposta a montagem de processo de Registros, dossiê ou acompanhamento de Registros. </w:t>
      </w:r>
    </w:p>
    <w:p w14:paraId="250DDC22" w14:textId="77777777" w:rsidR="0073668B" w:rsidRPr="00D85B3C" w:rsidRDefault="0073668B"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lang w:val="pt-BR"/>
        </w:rPr>
        <w:t xml:space="preserve"> </w:t>
      </w:r>
      <w:r w:rsidR="00007C8C" w:rsidRPr="00D85B3C">
        <w:rPr>
          <w:sz w:val="22"/>
          <w:szCs w:val="22"/>
        </w:rPr>
        <w:t xml:space="preserve">Assessorar na análise, planejamento e execução dos Programas de educação para o patrimônio nas diversas áreas de desenvolvimento. </w:t>
      </w:r>
    </w:p>
    <w:p w14:paraId="5F8D4B74"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na realização dos procedimentos a serem documentados e informados sobre a elaboração de projetos e a realização de atividades de educação patrimonial, nos diversos Setores, previstos na Deliberação. </w:t>
      </w:r>
    </w:p>
    <w:p w14:paraId="7446A772"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Difusão: Assessorar na realização de ações de difusão tais como publicações e outras ações advindas de programas de pesquisa e de divulgação do patrimônio cultural do Município. </w:t>
      </w:r>
    </w:p>
    <w:p w14:paraId="51848062"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lastRenderedPageBreak/>
        <w:t xml:space="preserve">A empresa deverá assessorar na preparação e organização de toda a documentação fornecida pelo Município, em pastas a serem enviadas ao IEPHA até à data estipulada pela Deliberação do CONEP vigente, enquanto for vigente o contratado da contratada com a Prefeitura. </w:t>
      </w:r>
    </w:p>
    <w:p w14:paraId="2B9C7198"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estudo e análises, organização e adequação da documentação às normas do IEPHA/MG para o repasse de ICMS Patrimônio Cultural. </w:t>
      </w:r>
    </w:p>
    <w:p w14:paraId="35663A98"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estudo e análises, e acompanhamento das atividades, cronograma e documentação para o ano base de referência do repasse do ICMS. </w:t>
      </w:r>
    </w:p>
    <w:p w14:paraId="78DC265E"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estudo e análises, sobre a documentação e as legislações pertinentes e encaminhamento de minutas para análise e adoção, se for o caso, pelo Município. </w:t>
      </w:r>
    </w:p>
    <w:p w14:paraId="27A124D6"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repasse de informações sobre a execução e os procedimentos necessários para o desenvolvimento do trabalho. </w:t>
      </w:r>
    </w:p>
    <w:p w14:paraId="34999E02"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estudo e análises, e acompanhamento da elaboração do Relatório das atividades do Programa de Educação Patrimonial. </w:t>
      </w:r>
    </w:p>
    <w:p w14:paraId="51C52774"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Realizar estudo e análises, e acompanhamento do desenvolvimento da Jornada Mineira do Patrimônio Cultural no município quando for o caso. </w:t>
      </w:r>
    </w:p>
    <w:p w14:paraId="763C5091" w14:textId="77777777" w:rsidR="0073668B"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na elaboração do relatório da Jornada Mineira do Patrimônio Cultural, quando for o caso. </w:t>
      </w:r>
    </w:p>
    <w:p w14:paraId="0CA534AA" w14:textId="77777777" w:rsidR="005E712F" w:rsidRPr="00D85B3C" w:rsidRDefault="00007C8C"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Assessorar na elaboração do Relatório de Atividades do Setor de Patrimônio.</w:t>
      </w:r>
    </w:p>
    <w:p w14:paraId="30A57460" w14:textId="5EDE0AD4" w:rsidR="005E712F" w:rsidRPr="00B407CD" w:rsidRDefault="005E712F" w:rsidP="00D85B3C">
      <w:pPr>
        <w:pStyle w:val="PargrafodaLista"/>
        <w:numPr>
          <w:ilvl w:val="2"/>
          <w:numId w:val="7"/>
        </w:numPr>
        <w:tabs>
          <w:tab w:val="left" w:pos="0"/>
          <w:tab w:val="left" w:pos="142"/>
        </w:tabs>
        <w:spacing w:line="360" w:lineRule="auto"/>
        <w:ind w:left="0" w:firstLine="0"/>
        <w:jc w:val="both"/>
        <w:rPr>
          <w:b/>
          <w:bCs/>
          <w:sz w:val="22"/>
          <w:szCs w:val="22"/>
        </w:rPr>
      </w:pPr>
      <w:bookmarkStart w:id="2" w:name="_Hlk170812023"/>
      <w:r w:rsidRPr="00B407CD">
        <w:rPr>
          <w:b/>
          <w:bCs/>
          <w:sz w:val="22"/>
          <w:szCs w:val="22"/>
        </w:rPr>
        <w:t xml:space="preserve">Patrimônio </w:t>
      </w:r>
      <w:r w:rsidRPr="00B407CD">
        <w:rPr>
          <w:b/>
          <w:bCs/>
          <w:sz w:val="22"/>
          <w:szCs w:val="22"/>
          <w:lang w:val="pt-BR"/>
        </w:rPr>
        <w:t>Turismo</w:t>
      </w:r>
    </w:p>
    <w:bookmarkEnd w:id="2"/>
    <w:p w14:paraId="0FBCC796" w14:textId="77777777" w:rsidR="002B0260"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Atividade de Assessoria, no desenvolvimento de ações e formalização de documentação referente às ações que podem ser realizadas pelo Município para obtenção de recursos do ICMS Turístico, seguindo criteriosamente todas as regras expressas pela Secretaria de Estado de Minas Gerais, tendo em vista os recursos técnicos e humanos disponíveis na Prefeitura Municipal e as regras expressas na Resolução SETUR, enquanto o contrato estiver vigente com a Contratada. </w:t>
      </w:r>
    </w:p>
    <w:p w14:paraId="6507FA30" w14:textId="77777777" w:rsidR="00FF2E18"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Planejamento, organização, estudo e análise na adequação da Legislação que cria a Política Municipal de Turismo, Conselho Municipal, Fundo Municipal e a filiação do Município ao Circuito correspondente. </w:t>
      </w:r>
    </w:p>
    <w:p w14:paraId="405527CA" w14:textId="77777777" w:rsidR="00FF2E18"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Planejamento, organização, estudo e análise na adequação da documentação às normas da SETUR/MG para fins de habilitação e pontuação na distribuição da parcela de ICMS pelo critério turismo. </w:t>
      </w:r>
    </w:p>
    <w:p w14:paraId="6A0662CC" w14:textId="77777777" w:rsidR="00FF2E18"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na elaboração e ou revisão do Plano Municipal de Turismo e, caso necessário, redigir as alterações que deverão ser avaliadas pela Secretaria Municipal e pelo Conselho Municipal de Turismo. </w:t>
      </w:r>
    </w:p>
    <w:p w14:paraId="2750306B"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Assessoria na elaboração e/ou atualização de Inventário turístico, quando necessário. </w:t>
      </w:r>
    </w:p>
    <w:p w14:paraId="2610B54D"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Assessoria na utilização dos Sistemas de Turismo (ICMS turístico, Portal e outros) pertinentes aos ICMS turístico. </w:t>
      </w:r>
    </w:p>
    <w:p w14:paraId="3783DF62"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lastRenderedPageBreak/>
        <w:t xml:space="preserve">Realização de reuniões com a equipe do setor responsável pelo desenvolvimento das atividades, bem como com as Secretarias e setores que acompanharão o trabalho. </w:t>
      </w:r>
    </w:p>
    <w:p w14:paraId="25C622E9"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Acompanhamento das atividades para o desenvolvimento dos trabalhos do ICMS Turístico, através de visitas ao Município e treinamento da equipe. </w:t>
      </w:r>
    </w:p>
    <w:p w14:paraId="461738F6"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Apontar e assessorar na definição e execução de ações turísticas que podem ser desenvolvidas no município para atender às Normas vigentes que pontua o município e atenda a Política Municipal.</w:t>
      </w:r>
    </w:p>
    <w:p w14:paraId="5D9EB199"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no cadastro do Gestor Municipal de Turismo e do Conselho Municipal de Turismo no “Sistema do ICMS critério Turismo”. </w:t>
      </w:r>
    </w:p>
    <w:p w14:paraId="376AEF11" w14:textId="77777777"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 xml:space="preserve">Assessorar na confecção de forma clara e com precisão de todos os anexos constantes na Resolução SETUR e anexá-los ao “Sistema do ICMS critério Turismo”, bem como todos os demais documentos solicitados no referido Sistema, observando criteriosamente os prazos estabelecidos na Resolução SETUR. </w:t>
      </w:r>
    </w:p>
    <w:p w14:paraId="0CA69E80" w14:textId="60FF263D" w:rsidR="00643FC1" w:rsidRPr="00D85B3C" w:rsidRDefault="00F52624" w:rsidP="00D85B3C">
      <w:pPr>
        <w:pStyle w:val="PargrafodaLista"/>
        <w:numPr>
          <w:ilvl w:val="3"/>
          <w:numId w:val="7"/>
        </w:numPr>
        <w:tabs>
          <w:tab w:val="left" w:pos="0"/>
          <w:tab w:val="left" w:pos="142"/>
        </w:tabs>
        <w:spacing w:line="360" w:lineRule="auto"/>
        <w:ind w:left="0" w:firstLine="0"/>
        <w:jc w:val="both"/>
        <w:rPr>
          <w:sz w:val="22"/>
          <w:szCs w:val="22"/>
        </w:rPr>
      </w:pPr>
      <w:r w:rsidRPr="00D85B3C">
        <w:rPr>
          <w:sz w:val="22"/>
          <w:szCs w:val="22"/>
        </w:rPr>
        <w:t>A empresa deverá emitir e encaminhar para o Setor responsável do município e para os e-mails definidos pelo Executivo que acompanharão a execução do Contrato relatórios semanais de acompanhamento do andamento das ações realizadas pelo município e dos documentos que comporão o processo do ICMS turístico.</w:t>
      </w:r>
    </w:p>
    <w:p w14:paraId="31E875C4" w14:textId="77777777" w:rsidR="00643FC1" w:rsidRPr="00B407CD" w:rsidRDefault="00643FC1" w:rsidP="00D85B3C">
      <w:pPr>
        <w:pStyle w:val="PargrafodaLista"/>
        <w:numPr>
          <w:ilvl w:val="2"/>
          <w:numId w:val="15"/>
        </w:numPr>
        <w:tabs>
          <w:tab w:val="left" w:pos="0"/>
          <w:tab w:val="left" w:pos="142"/>
        </w:tabs>
        <w:spacing w:line="360" w:lineRule="auto"/>
        <w:ind w:left="0" w:firstLine="0"/>
        <w:jc w:val="both"/>
        <w:rPr>
          <w:b/>
          <w:bCs/>
          <w:sz w:val="22"/>
          <w:szCs w:val="22"/>
        </w:rPr>
      </w:pPr>
      <w:r w:rsidRPr="00B407CD">
        <w:rPr>
          <w:b/>
          <w:bCs/>
          <w:sz w:val="22"/>
          <w:szCs w:val="22"/>
        </w:rPr>
        <w:t xml:space="preserve">Patrimônio </w:t>
      </w:r>
      <w:r w:rsidRPr="00B407CD">
        <w:rPr>
          <w:b/>
          <w:bCs/>
          <w:sz w:val="22"/>
          <w:szCs w:val="22"/>
          <w:lang w:val="pt-BR"/>
        </w:rPr>
        <w:t>Esporte</w:t>
      </w:r>
    </w:p>
    <w:p w14:paraId="1B297056"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 empresa prestará Atividade de Assessoria no desenvolvimento das ações realizadas pelo Município e preparação de documentação referente às ações que podem ser realizadas pelo Município para obtenção de recursos do ICMS – Esportivo, seguindo criteriosamente todas as regras expressas no programa ICMS Esportivo pelo Governo de Minas Gerais. </w:t>
      </w:r>
    </w:p>
    <w:p w14:paraId="615B1B79"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Assessorar na atualização ou instituição de Legislações da área do esporte necessária para pleitear o ICMS esportivo. </w:t>
      </w:r>
    </w:p>
    <w:p w14:paraId="0DB43813"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Analisar os documentos de registros do desenvolvimento dos Programas e projetos esportivos desenvolvidos pelo Setor no município. E apresentar as alterações necessárias, se for o caso. </w:t>
      </w:r>
    </w:p>
    <w:p w14:paraId="198209CC"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Assessorar na elaboração de documentos e padronização necessários ao registro das atividades esportivas para pleitear o ICMS esportivo. Os documentos deverão ser apresentados e discutidos “in loco” entre os consultores e os funcionários do Setor. </w:t>
      </w:r>
    </w:p>
    <w:p w14:paraId="0299BB48"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Assessorar no Plano de Ação e cronograma das atividades esportivas do município. </w:t>
      </w:r>
    </w:p>
    <w:p w14:paraId="2B36883F"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Assessorar o Setor de esporte no acompanhamento das atividades do Conselho Municipal de Esporte, orientando sobre as obrigações e responsabilidades do órgão. </w:t>
      </w:r>
    </w:p>
    <w:p w14:paraId="6FA83F0D" w14:textId="77777777" w:rsidR="00031F96"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t xml:space="preserve">A empresa deverá assessorar na formalização e organização de toda a documentação fornecida pelo Município, em pastas a serem enviadas aos Órgãos competentes ou pelos meios definidos pelas Legislações pertinentes, enquanto o contrato estiver vigente com a Contratada. </w:t>
      </w:r>
    </w:p>
    <w:p w14:paraId="3B6236AC" w14:textId="6546FEC2" w:rsidR="00007C8C" w:rsidRPr="00D85B3C" w:rsidRDefault="00643FC1" w:rsidP="00D85B3C">
      <w:pPr>
        <w:pStyle w:val="PargrafodaLista"/>
        <w:numPr>
          <w:ilvl w:val="3"/>
          <w:numId w:val="15"/>
        </w:numPr>
        <w:tabs>
          <w:tab w:val="left" w:pos="0"/>
          <w:tab w:val="left" w:pos="142"/>
        </w:tabs>
        <w:spacing w:line="360" w:lineRule="auto"/>
        <w:ind w:left="0" w:firstLine="0"/>
        <w:jc w:val="both"/>
        <w:rPr>
          <w:sz w:val="22"/>
          <w:szCs w:val="22"/>
        </w:rPr>
      </w:pPr>
      <w:r w:rsidRPr="00D85B3C">
        <w:rPr>
          <w:sz w:val="22"/>
          <w:szCs w:val="22"/>
        </w:rPr>
        <w:lastRenderedPageBreak/>
        <w:t>Assessorar na utilização do Sistema Esportivo e atualizações.</w:t>
      </w:r>
    </w:p>
    <w:p w14:paraId="4ADBAA57" w14:textId="59447BCF" w:rsidR="00C3509A" w:rsidRPr="00D85B3C" w:rsidRDefault="00C3509A" w:rsidP="00D85B3C">
      <w:pPr>
        <w:pStyle w:val="PargrafodaLista"/>
        <w:numPr>
          <w:ilvl w:val="1"/>
          <w:numId w:val="15"/>
        </w:numPr>
        <w:tabs>
          <w:tab w:val="left" w:pos="0"/>
          <w:tab w:val="left" w:pos="142"/>
        </w:tabs>
        <w:spacing w:line="360" w:lineRule="auto"/>
        <w:ind w:left="0" w:firstLine="0"/>
        <w:jc w:val="both"/>
        <w:rPr>
          <w:sz w:val="22"/>
          <w:szCs w:val="22"/>
        </w:rPr>
      </w:pPr>
      <w:r w:rsidRPr="00D85B3C">
        <w:rPr>
          <w:sz w:val="22"/>
          <w:szCs w:val="22"/>
        </w:rPr>
        <w:t>Manter, durante a execução do contrato, em compatibilidade com as obrigações assumidas, todas as condições de qualificação e habilitação exigidas na licitação;</w:t>
      </w:r>
    </w:p>
    <w:p w14:paraId="327F5F9C" w14:textId="36A09E0A" w:rsidR="00C3509A" w:rsidRPr="00D85B3C" w:rsidRDefault="00C3509A" w:rsidP="00D85B3C">
      <w:pPr>
        <w:pStyle w:val="PargrafodaLista"/>
        <w:numPr>
          <w:ilvl w:val="1"/>
          <w:numId w:val="15"/>
        </w:numPr>
        <w:tabs>
          <w:tab w:val="left" w:pos="0"/>
          <w:tab w:val="left" w:pos="142"/>
        </w:tabs>
        <w:spacing w:line="360" w:lineRule="auto"/>
        <w:ind w:left="0" w:firstLine="0"/>
        <w:jc w:val="both"/>
        <w:rPr>
          <w:sz w:val="22"/>
          <w:szCs w:val="22"/>
        </w:rPr>
      </w:pPr>
      <w:r w:rsidRPr="00D85B3C">
        <w:rPr>
          <w:sz w:val="22"/>
          <w:szCs w:val="22"/>
        </w:rPr>
        <w:t>Não transferir a terceiros, no todo ou em parte, o objeto da presente licitação, sem prévia anuência desta Contratante</w:t>
      </w:r>
    </w:p>
    <w:p w14:paraId="501EF7C0" w14:textId="7C6F591F" w:rsidR="00E679B9" w:rsidRPr="00D85B3C" w:rsidRDefault="00E679B9" w:rsidP="00D85B3C">
      <w:pPr>
        <w:pStyle w:val="PargrafodaLista"/>
        <w:numPr>
          <w:ilvl w:val="1"/>
          <w:numId w:val="15"/>
        </w:numPr>
        <w:tabs>
          <w:tab w:val="left" w:pos="0"/>
          <w:tab w:val="left" w:pos="142"/>
        </w:tabs>
        <w:spacing w:line="360" w:lineRule="auto"/>
        <w:ind w:left="0" w:firstLine="0"/>
        <w:jc w:val="both"/>
        <w:rPr>
          <w:iCs/>
          <w:sz w:val="22"/>
          <w:szCs w:val="22"/>
        </w:rPr>
      </w:pPr>
      <w:r w:rsidRPr="00D85B3C">
        <w:rPr>
          <w:iCs/>
          <w:sz w:val="22"/>
          <w:szCs w:val="22"/>
        </w:rPr>
        <w:t>O prazo de garantia contratual dos serviços é aquele estabelecido na Lei nº 8.078, de 11 de setembro de 1990 (Código de Defesa do Consumidor).</w:t>
      </w:r>
    </w:p>
    <w:p w14:paraId="40669441" w14:textId="77777777" w:rsidR="00B44863" w:rsidRPr="00D85B3C" w:rsidRDefault="0003314E" w:rsidP="00D85B3C">
      <w:pPr>
        <w:pStyle w:val="PargrafodaLista"/>
        <w:numPr>
          <w:ilvl w:val="1"/>
          <w:numId w:val="15"/>
        </w:numPr>
        <w:tabs>
          <w:tab w:val="left" w:pos="0"/>
          <w:tab w:val="left" w:pos="142"/>
        </w:tabs>
        <w:spacing w:line="360" w:lineRule="auto"/>
        <w:ind w:left="0" w:firstLine="0"/>
        <w:jc w:val="both"/>
        <w:rPr>
          <w:iCs/>
          <w:sz w:val="22"/>
          <w:szCs w:val="22"/>
        </w:rPr>
      </w:pPr>
      <w:r w:rsidRPr="00D85B3C">
        <w:rPr>
          <w:iCs/>
          <w:sz w:val="22"/>
          <w:szCs w:val="22"/>
          <w:lang w:val="pt-BR"/>
        </w:rPr>
        <w:t>Não serão necessários procedimentos de transição e finalização do contrato devido às características do objeto.</w:t>
      </w:r>
    </w:p>
    <w:p w14:paraId="53E42349" w14:textId="1B8E9EFB" w:rsidR="009D656B" w:rsidRPr="00D85B3C" w:rsidRDefault="00AC0437" w:rsidP="00D85B3C">
      <w:pPr>
        <w:pStyle w:val="PargrafodaLista"/>
        <w:numPr>
          <w:ilvl w:val="0"/>
          <w:numId w:val="15"/>
        </w:numPr>
        <w:tabs>
          <w:tab w:val="left" w:pos="0"/>
        </w:tabs>
        <w:spacing w:line="360" w:lineRule="auto"/>
        <w:ind w:left="0" w:firstLine="0"/>
        <w:jc w:val="both"/>
        <w:rPr>
          <w:iCs/>
          <w:sz w:val="22"/>
          <w:szCs w:val="22"/>
        </w:rPr>
      </w:pPr>
      <w:r w:rsidRPr="00D85B3C">
        <w:rPr>
          <w:b/>
          <w:sz w:val="22"/>
          <w:szCs w:val="22"/>
        </w:rPr>
        <w:t xml:space="preserve">DA </w:t>
      </w:r>
      <w:r w:rsidR="001A27B9" w:rsidRPr="00D85B3C">
        <w:rPr>
          <w:b/>
          <w:sz w:val="22"/>
          <w:szCs w:val="22"/>
        </w:rPr>
        <w:t xml:space="preserve">GESTÃO DO CONTRATO </w:t>
      </w:r>
      <w:r w:rsidR="0041360E" w:rsidRPr="00D85B3C">
        <w:rPr>
          <w:b/>
          <w:sz w:val="22"/>
          <w:szCs w:val="22"/>
        </w:rPr>
        <w:t>ROTINAS DE FISCALIZAÇÃO CONTRATUAL</w:t>
      </w:r>
    </w:p>
    <w:p w14:paraId="6DBC0911"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71D62064"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308D657D"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As comunicações entre o órgão ou entidade e a contratada devem ser realizadas por escrito sempre que o ato exigir tal formalidade, admitindo-se o uso de mensagem eletrônica para esse fim.</w:t>
      </w:r>
    </w:p>
    <w:p w14:paraId="081AC9F4" w14:textId="6605FADF"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O órgão ou entidade poderá convocar representante da empresa para adoção de providências que devam ser cumpridas de imediato.</w:t>
      </w:r>
    </w:p>
    <w:p w14:paraId="0E7625EA" w14:textId="5ED8CDC9" w:rsidR="00C37AAC" w:rsidRPr="00D85B3C" w:rsidRDefault="00C37AAC"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CE58C" w14:textId="5B986D49" w:rsidR="00C37AAC" w:rsidRPr="00D85B3C" w:rsidRDefault="00C37AAC"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01A57951" w14:textId="3043FDEE" w:rsidR="00C37AAC" w:rsidRPr="00D85B3C" w:rsidRDefault="00C37AAC"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Contratada deverá manter preposto da empresa no local da execução do objeto nos horários e locais de prestação de serviço para representá-la na execução do contrato com capacidade para tomar decisões compatíveis com os compromissos assumidos.</w:t>
      </w:r>
    </w:p>
    <w:p w14:paraId="3B716B21" w14:textId="448E0D50" w:rsidR="00C37AAC" w:rsidRPr="00D85B3C" w:rsidRDefault="00C37AAC"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A Contratante poderá recusar, desde que justificadamente, a indicação ou a manutenção do preposto da empresa, hipótese em que a Contratada designará outro para o exercício da atividade</w:t>
      </w:r>
      <w:r w:rsidR="00F41EAC" w:rsidRPr="00D85B3C">
        <w:rPr>
          <w:rFonts w:eastAsia="Calibri"/>
          <w:sz w:val="22"/>
          <w:szCs w:val="22"/>
          <w:lang w:val="pt-BR"/>
        </w:rPr>
        <w:t>.</w:t>
      </w:r>
    </w:p>
    <w:p w14:paraId="40383E9F" w14:textId="600089AA"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A execução do contrato deverá ser acompanhada e fiscalizada pelo(s) fiscal(</w:t>
      </w:r>
      <w:proofErr w:type="spellStart"/>
      <w:r w:rsidRPr="00D85B3C">
        <w:rPr>
          <w:rFonts w:eastAsia="Calibri"/>
          <w:sz w:val="22"/>
          <w:szCs w:val="22"/>
        </w:rPr>
        <w:t>is</w:t>
      </w:r>
      <w:proofErr w:type="spellEnd"/>
      <w:r w:rsidRPr="00D85B3C">
        <w:rPr>
          <w:rFonts w:eastAsia="Calibri"/>
          <w:sz w:val="22"/>
          <w:szCs w:val="22"/>
        </w:rPr>
        <w:t>) do contrato, ou pelos respectivos substitutos.</w:t>
      </w:r>
    </w:p>
    <w:p w14:paraId="793E3752"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lastRenderedPageBreak/>
        <w:t xml:space="preserve">O fiscal técnico do contrato acompanhará a execução do contrato, para que sejam cumpridas todas as condições estabelecidas no contrato, de modo a assegurar os melhores resultados para a Administração. </w:t>
      </w:r>
    </w:p>
    <w:p w14:paraId="46413474"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77112C22"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B08C819"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A4B4723"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No caso de ocorrências que possam inviabilizar a execução do contrato nas datas aprazadas, o fiscal técnico do contrato comunicará o fato imediatamente ao gestor do contrato.</w:t>
      </w:r>
    </w:p>
    <w:p w14:paraId="4B9BD917" w14:textId="23D3D67B"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O fiscal técnico do contrato comunicará ao gestor do contrato, em tempo hábil, o término do contrato sob sua responsabilidade, com vistas à tempestiva renovação ou à prorrogação contratual.</w:t>
      </w:r>
    </w:p>
    <w:p w14:paraId="13E3E60D"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A15E449" w14:textId="69223B92"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0A697535"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A981E97"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613DC3E"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5BFDCB9"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w:t>
      </w:r>
      <w:r w:rsidRPr="00D85B3C">
        <w:rPr>
          <w:rFonts w:eastAsia="Calibri"/>
          <w:sz w:val="22"/>
          <w:szCs w:val="22"/>
        </w:rPr>
        <w:lastRenderedPageBreak/>
        <w:t xml:space="preserve">desempenho na execução contratual, baseado nos indicadores objetivamente definidos e aferidos, e a eventuais penalidades aplicadas, devendo constar do cadastro de atesto de cumprimento de obrigações. </w:t>
      </w:r>
    </w:p>
    <w:p w14:paraId="662C21DC"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F46B19A" w14:textId="77777777" w:rsidR="00C37AAC"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4EF96D25" w14:textId="5515EFCA" w:rsidR="00CC01CF" w:rsidRPr="00D85B3C" w:rsidRDefault="00FF1901" w:rsidP="00D85B3C">
      <w:pPr>
        <w:pStyle w:val="PargrafodaLista"/>
        <w:numPr>
          <w:ilvl w:val="1"/>
          <w:numId w:val="15"/>
        </w:numPr>
        <w:tabs>
          <w:tab w:val="left" w:pos="0"/>
          <w:tab w:val="left" w:pos="142"/>
        </w:tabs>
        <w:spacing w:line="360" w:lineRule="auto"/>
        <w:ind w:left="0" w:firstLine="0"/>
        <w:jc w:val="both"/>
        <w:rPr>
          <w:rFonts w:eastAsia="Calibri"/>
          <w:sz w:val="22"/>
          <w:szCs w:val="22"/>
        </w:rPr>
      </w:pPr>
      <w:r w:rsidRPr="00D85B3C">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7DF44907" w14:textId="5F01ED5C" w:rsidR="00CC01CF" w:rsidRPr="00D85B3C" w:rsidRDefault="00BD35BC" w:rsidP="00D85B3C">
      <w:pPr>
        <w:pStyle w:val="PargrafodaLista"/>
        <w:numPr>
          <w:ilvl w:val="0"/>
          <w:numId w:val="15"/>
        </w:numPr>
        <w:tabs>
          <w:tab w:val="left" w:pos="0"/>
        </w:tabs>
        <w:spacing w:line="360" w:lineRule="auto"/>
        <w:ind w:left="0" w:firstLine="0"/>
        <w:jc w:val="both"/>
        <w:rPr>
          <w:rFonts w:eastAsia="Calibri"/>
          <w:sz w:val="22"/>
          <w:szCs w:val="22"/>
        </w:rPr>
      </w:pPr>
      <w:r w:rsidRPr="00D85B3C">
        <w:rPr>
          <w:rFonts w:eastAsia="Calibri"/>
          <w:b/>
          <w:sz w:val="22"/>
          <w:szCs w:val="22"/>
        </w:rPr>
        <w:t xml:space="preserve">CRITÉRIOS DE </w:t>
      </w:r>
      <w:r w:rsidR="00977080" w:rsidRPr="00D85B3C">
        <w:rPr>
          <w:rFonts w:eastAsia="Calibri"/>
          <w:b/>
          <w:sz w:val="22"/>
          <w:szCs w:val="22"/>
        </w:rPr>
        <w:t>PAGAMENTO</w:t>
      </w:r>
    </w:p>
    <w:p w14:paraId="2CBD25FE" w14:textId="563E4D39"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b/>
          <w:sz w:val="22"/>
          <w:szCs w:val="22"/>
        </w:rPr>
      </w:pPr>
      <w:r w:rsidRPr="00D85B3C">
        <w:rPr>
          <w:rFonts w:eastAsia="Calibri"/>
          <w:sz w:val="22"/>
          <w:szCs w:val="22"/>
          <w:lang w:val="pt-BR"/>
        </w:rPr>
        <w:t xml:space="preserve">O pagamento será efetuado em </w:t>
      </w:r>
      <w:r w:rsidR="003521AF" w:rsidRPr="00D85B3C">
        <w:rPr>
          <w:rFonts w:eastAsia="Calibri"/>
          <w:sz w:val="22"/>
          <w:szCs w:val="22"/>
          <w:lang w:val="pt-BR"/>
        </w:rPr>
        <w:t>12</w:t>
      </w:r>
      <w:r w:rsidRPr="00D85B3C">
        <w:rPr>
          <w:rFonts w:eastAsia="Calibri"/>
          <w:sz w:val="22"/>
          <w:szCs w:val="22"/>
          <w:lang w:val="pt-BR"/>
        </w:rPr>
        <w:t xml:space="preserve"> (</w:t>
      </w:r>
      <w:r w:rsidR="003521AF" w:rsidRPr="00D85B3C">
        <w:rPr>
          <w:rFonts w:eastAsia="Calibri"/>
          <w:sz w:val="22"/>
          <w:szCs w:val="22"/>
          <w:lang w:val="pt-BR"/>
        </w:rPr>
        <w:t>doze</w:t>
      </w:r>
      <w:r w:rsidRPr="00D85B3C">
        <w:rPr>
          <w:rFonts w:eastAsia="Calibri"/>
          <w:sz w:val="22"/>
          <w:szCs w:val="22"/>
          <w:lang w:val="pt-BR"/>
        </w:rPr>
        <w:t xml:space="preserve">) parcelas, </w:t>
      </w:r>
      <w:r w:rsidR="003521AF" w:rsidRPr="00D85B3C">
        <w:rPr>
          <w:rFonts w:eastAsia="Calibri"/>
          <w:sz w:val="22"/>
          <w:szCs w:val="22"/>
        </w:rPr>
        <w:t xml:space="preserve">no prazo máximo de até </w:t>
      </w:r>
      <w:r w:rsidR="003521AF" w:rsidRPr="00D85B3C">
        <w:rPr>
          <w:rFonts w:eastAsia="Calibri"/>
          <w:sz w:val="22"/>
          <w:szCs w:val="22"/>
          <w:lang w:val="pt-BR"/>
        </w:rPr>
        <w:t>10 (dez</w:t>
      </w:r>
      <w:r w:rsidR="003521AF" w:rsidRPr="00D85B3C">
        <w:rPr>
          <w:rFonts w:eastAsia="Calibri"/>
          <w:sz w:val="22"/>
          <w:szCs w:val="22"/>
        </w:rPr>
        <w:t>) dias, contados a partir do recebimento da Nota Fiscal ou Fatura, através de ordem bancária, para crédito em banco, agência e conta corrente indicados pelo contratado.</w:t>
      </w:r>
    </w:p>
    <w:p w14:paraId="6BA932FF" w14:textId="33C073A7" w:rsidR="00B110E8" w:rsidRPr="00D85B3C" w:rsidRDefault="00B110E8" w:rsidP="00D85B3C">
      <w:pPr>
        <w:pStyle w:val="PargrafodaLista"/>
        <w:numPr>
          <w:ilvl w:val="2"/>
          <w:numId w:val="16"/>
        </w:numPr>
        <w:tabs>
          <w:tab w:val="left" w:pos="0"/>
          <w:tab w:val="left" w:pos="142"/>
        </w:tabs>
        <w:spacing w:line="360" w:lineRule="auto"/>
        <w:jc w:val="both"/>
        <w:rPr>
          <w:rFonts w:eastAsia="Calibri"/>
          <w:sz w:val="22"/>
          <w:szCs w:val="22"/>
        </w:rPr>
      </w:pPr>
      <w:r w:rsidRPr="00D85B3C">
        <w:rPr>
          <w:rFonts w:eastAsia="Calibri"/>
          <w:sz w:val="22"/>
          <w:szCs w:val="22"/>
        </w:rPr>
        <w:t>O fiscal administrativo do contrato realizará o recebimento provisório do objeto do contrato mediante termo detalhado que comprove o cumprimento das exigências de caráter administrativo.</w:t>
      </w:r>
    </w:p>
    <w:p w14:paraId="55165A8B" w14:textId="77777777"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O fiscal setorial do contrato, quando houver, realizará o recebimento provisório sob o ponto de vista técnico e administrativo.</w:t>
      </w:r>
    </w:p>
    <w:p w14:paraId="559C74B7" w14:textId="753CE6A5"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3671BC" w14:textId="77777777"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Será considerado como ocorrido o recebimento provisório com a entrega do termo detalhado ou, em havendo mais de um a ser feito, com a entrega do último.</w:t>
      </w:r>
    </w:p>
    <w:p w14:paraId="39B630A9" w14:textId="0C25E802"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w:t>
      </w:r>
      <w:r w:rsidR="000526E3" w:rsidRPr="00D85B3C">
        <w:rPr>
          <w:rFonts w:eastAsia="Calibri"/>
          <w:sz w:val="22"/>
          <w:szCs w:val="22"/>
          <w:lang w:val="pt-BR"/>
        </w:rPr>
        <w:t>os</w:t>
      </w:r>
      <w:r w:rsidRPr="00D85B3C">
        <w:rPr>
          <w:rFonts w:eastAsia="Calibri"/>
          <w:sz w:val="22"/>
          <w:szCs w:val="22"/>
          <w:lang w:val="pt-BR"/>
        </w:rPr>
        <w:t xml:space="preserve"> serviços até que sejam sanadas todas as eventuais pendências que possam vir a ser apontadas no Recebimento Provisório.</w:t>
      </w:r>
    </w:p>
    <w:p w14:paraId="2141CD11" w14:textId="77777777"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7464CADB"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 xml:space="preserve">Quando a fiscalização for exercida por um único servidor, o Termo Detalhado deverá conter o registro, a análise e a conclusão acerca das ocorrências na execução do contrato, em relação à fiscalização técnica e </w:t>
      </w:r>
      <w:r w:rsidRPr="00D85B3C">
        <w:rPr>
          <w:rFonts w:eastAsia="Calibri"/>
          <w:sz w:val="22"/>
          <w:szCs w:val="22"/>
          <w:lang w:val="pt-BR"/>
        </w:rPr>
        <w:lastRenderedPageBreak/>
        <w:t>administrativa e demais documentos que julgar necessários, devendo encaminhá-los ao gestor do contrato para recebimento definitivo.</w:t>
      </w:r>
    </w:p>
    <w:p w14:paraId="15146893"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lang w:val="pt-BR"/>
        </w:rPr>
        <w:t>Nenhum prazo de recebimento ocorrerá enquanto pendente a solução, pelo contratado, de inconsistências verificadas na execução do objeto ou no instrumento de cobrança.</w:t>
      </w:r>
    </w:p>
    <w:p w14:paraId="568308E6"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BF9381E"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EACB90"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Para fins de liquidação, o setor competente deve verificar se a Nota Fiscal ou Fatura apresentada expressa os elementos necessários e essenciais do documento, tais como:</w:t>
      </w:r>
    </w:p>
    <w:p w14:paraId="2490261C"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o prazo de validade;</w:t>
      </w:r>
    </w:p>
    <w:p w14:paraId="4912CEFF"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a data da emissão;</w:t>
      </w:r>
    </w:p>
    <w:p w14:paraId="719BE9C5"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os dados do contrato e do órgão contratante;</w:t>
      </w:r>
    </w:p>
    <w:p w14:paraId="0564224E"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o período respectivo de execução do contrato;</w:t>
      </w:r>
    </w:p>
    <w:p w14:paraId="6D84C800"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o valor a pagar; e</w:t>
      </w:r>
    </w:p>
    <w:p w14:paraId="19F994A6" w14:textId="77777777" w:rsidR="00B110E8" w:rsidRPr="00D85B3C" w:rsidRDefault="00B110E8" w:rsidP="00D85B3C">
      <w:pPr>
        <w:pStyle w:val="PargrafodaLista"/>
        <w:numPr>
          <w:ilvl w:val="0"/>
          <w:numId w:val="11"/>
        </w:numPr>
        <w:tabs>
          <w:tab w:val="left" w:pos="0"/>
          <w:tab w:val="left" w:pos="142"/>
        </w:tabs>
        <w:spacing w:line="360" w:lineRule="auto"/>
        <w:ind w:left="0" w:firstLine="0"/>
        <w:jc w:val="both"/>
        <w:rPr>
          <w:rFonts w:eastAsia="Calibri"/>
          <w:sz w:val="22"/>
          <w:szCs w:val="22"/>
        </w:rPr>
      </w:pPr>
      <w:r w:rsidRPr="00D85B3C">
        <w:rPr>
          <w:rFonts w:eastAsia="Calibri"/>
          <w:sz w:val="22"/>
          <w:szCs w:val="22"/>
        </w:rPr>
        <w:t>eventual destaque do valor de retenções tributárias cabíveis.</w:t>
      </w:r>
    </w:p>
    <w:p w14:paraId="16C86678"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10FCBFC"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76113379"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CF09A41"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55A554E"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w:t>
      </w:r>
      <w:r w:rsidRPr="00D85B3C">
        <w:rPr>
          <w:rFonts w:eastAsia="Calibri"/>
          <w:sz w:val="22"/>
          <w:szCs w:val="22"/>
        </w:rPr>
        <w:lastRenderedPageBreak/>
        <w:t xml:space="preserve">contratado, bem como quanto à existência de pagamento a ser efetuado, para que sejam acionados os meios pertinentes e necessários para garantir o recebimento de seus créditos. </w:t>
      </w:r>
    </w:p>
    <w:p w14:paraId="758752D2"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6381390C"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2FC58974"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D85B3C">
        <w:rPr>
          <w:rFonts w:eastAsia="Calibri"/>
          <w:sz w:val="22"/>
          <w:szCs w:val="22"/>
          <w:lang w:val="pt-BR"/>
        </w:rPr>
        <w:t xml:space="preserve"> Nacional de Custo da Construção </w:t>
      </w:r>
      <w:r w:rsidRPr="00D85B3C">
        <w:rPr>
          <w:rFonts w:eastAsia="Calibri"/>
          <w:sz w:val="22"/>
          <w:szCs w:val="22"/>
        </w:rPr>
        <w:t xml:space="preserve"> de correção monetária</w:t>
      </w:r>
      <w:r w:rsidRPr="00D85B3C">
        <w:rPr>
          <w:rFonts w:eastAsia="Calibri"/>
          <w:sz w:val="22"/>
          <w:szCs w:val="22"/>
          <w:lang w:val="pt-BR"/>
        </w:rPr>
        <w:t>.</w:t>
      </w:r>
    </w:p>
    <w:p w14:paraId="4836E867"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O pagamento será realizado através de ordem bancária, para crédito em banco, agência e conta corrente indicados pelo contratado.</w:t>
      </w:r>
    </w:p>
    <w:p w14:paraId="7D7E9945"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Será considerada data do pagamento o dia em que constar como emitida a ordem bancária para pagamento.</w:t>
      </w:r>
    </w:p>
    <w:p w14:paraId="7CCAF4CF"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Quando do pagamento, será efetuada a retenção tributária prevista na legislação aplicável.</w:t>
      </w:r>
    </w:p>
    <w:p w14:paraId="111E9613" w14:textId="77777777" w:rsidR="00B110E8" w:rsidRPr="00D85B3C" w:rsidRDefault="00B110E8" w:rsidP="00D85B3C">
      <w:pPr>
        <w:pStyle w:val="PargrafodaLista"/>
        <w:numPr>
          <w:ilvl w:val="2"/>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Independentemente do percentual de tributo inserido na planilha, quando houver, serão retidos na fonte, quando da realização do pagamento, os percentuais estabelecidos na legislação vigente.</w:t>
      </w:r>
    </w:p>
    <w:p w14:paraId="5D700788" w14:textId="77777777" w:rsidR="00B110E8" w:rsidRPr="00D85B3C" w:rsidRDefault="00B110E8"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EE035ED" w14:textId="781B9D71" w:rsidR="001A27B9" w:rsidRPr="00D85B3C" w:rsidRDefault="001A27B9" w:rsidP="00D85B3C">
      <w:pPr>
        <w:pStyle w:val="PargrafodaLista"/>
        <w:numPr>
          <w:ilvl w:val="0"/>
          <w:numId w:val="16"/>
        </w:numPr>
        <w:tabs>
          <w:tab w:val="left" w:pos="0"/>
        </w:tabs>
        <w:spacing w:line="360" w:lineRule="auto"/>
        <w:ind w:left="0" w:firstLine="0"/>
        <w:jc w:val="both"/>
        <w:rPr>
          <w:rFonts w:eastAsia="Calibri"/>
          <w:b/>
          <w:sz w:val="22"/>
          <w:szCs w:val="22"/>
          <w:lang w:val="pt-BR"/>
        </w:rPr>
      </w:pPr>
      <w:r w:rsidRPr="00D85B3C">
        <w:rPr>
          <w:b/>
          <w:sz w:val="22"/>
          <w:szCs w:val="22"/>
        </w:rPr>
        <w:t xml:space="preserve">FORMA E CRITÉRIOS DE SELEÇÃO DO FORNECEDOR </w:t>
      </w:r>
    </w:p>
    <w:p w14:paraId="0A81AD8D" w14:textId="57DC5F81" w:rsidR="00B30DF1" w:rsidRPr="00D85B3C" w:rsidRDefault="0071563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lang w:val="pt-BR"/>
        </w:rPr>
        <w:t xml:space="preserve">O contratado será selecionado por meio da realização de procedimento de </w:t>
      </w:r>
      <w:r w:rsidR="00B85E37" w:rsidRPr="00D85B3C">
        <w:rPr>
          <w:sz w:val="22"/>
          <w:szCs w:val="22"/>
          <w:lang w:val="pt-BR"/>
        </w:rPr>
        <w:t>D</w:t>
      </w:r>
      <w:r w:rsidRPr="00D85B3C">
        <w:rPr>
          <w:sz w:val="22"/>
          <w:szCs w:val="22"/>
          <w:lang w:val="pt-BR"/>
        </w:rPr>
        <w:t>ispensa de licitação, com fundamento na hipótese do art. 75, inciso I</w:t>
      </w:r>
      <w:r w:rsidR="000526E3" w:rsidRPr="00D85B3C">
        <w:rPr>
          <w:sz w:val="22"/>
          <w:szCs w:val="22"/>
          <w:lang w:val="pt-BR"/>
        </w:rPr>
        <w:t>I</w:t>
      </w:r>
      <w:r w:rsidRPr="00D85B3C">
        <w:rPr>
          <w:sz w:val="22"/>
          <w:szCs w:val="22"/>
          <w:lang w:val="pt-BR"/>
        </w:rPr>
        <w:t>, da Lei nº 14.133/2021</w:t>
      </w:r>
      <w:r w:rsidR="001A27B9" w:rsidRPr="00D85B3C">
        <w:rPr>
          <w:sz w:val="22"/>
          <w:szCs w:val="22"/>
        </w:rPr>
        <w:t>.</w:t>
      </w:r>
    </w:p>
    <w:p w14:paraId="5DF0420C" w14:textId="64D837A9" w:rsidR="00176385" w:rsidRPr="00D85B3C" w:rsidRDefault="00057994"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lang w:val="pt-BR"/>
        </w:rPr>
        <w:t>O regime de execução do contrato será por preço unitário.</w:t>
      </w:r>
    </w:p>
    <w:p w14:paraId="74834F00" w14:textId="77777777" w:rsidR="00057994" w:rsidRPr="00D85B3C" w:rsidRDefault="00057994"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lang w:val="pt-BR"/>
        </w:rPr>
        <w:t>Ressalvado o objeto ou parte dele sujeito ao regime de empreitada por preço unitário, o critério de aceitabilidade de preços será o valor global estimado para a contratação.</w:t>
      </w:r>
    </w:p>
    <w:p w14:paraId="55FB9529" w14:textId="77777777" w:rsidR="00B715A4" w:rsidRPr="00D85B3C" w:rsidRDefault="00057994" w:rsidP="00D85B3C">
      <w:pPr>
        <w:pStyle w:val="PargrafodaLista"/>
        <w:numPr>
          <w:ilvl w:val="2"/>
          <w:numId w:val="16"/>
        </w:numPr>
        <w:tabs>
          <w:tab w:val="left" w:pos="0"/>
          <w:tab w:val="left" w:pos="142"/>
        </w:tabs>
        <w:spacing w:line="360" w:lineRule="auto"/>
        <w:ind w:left="0" w:firstLine="0"/>
        <w:jc w:val="both"/>
        <w:rPr>
          <w:sz w:val="22"/>
          <w:szCs w:val="22"/>
        </w:rPr>
      </w:pPr>
      <w:r w:rsidRPr="00D85B3C">
        <w:rPr>
          <w:sz w:val="22"/>
          <w:szCs w:val="22"/>
          <w:lang w:val="pt-BR"/>
        </w:rPr>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715A4" w:rsidRPr="00D85B3C">
        <w:rPr>
          <w:sz w:val="22"/>
          <w:szCs w:val="22"/>
          <w:lang w:val="pt-BR"/>
        </w:rPr>
        <w:t>.</w:t>
      </w:r>
    </w:p>
    <w:p w14:paraId="08ADF782" w14:textId="77777777" w:rsidR="002C5628" w:rsidRPr="00D85B3C" w:rsidRDefault="00B715A4"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lang w:val="pt-BR"/>
        </w:rPr>
        <w:t>Para o objeto ou parte dele sujeito ao regime de empreitada por preço unitário o critério de aceitabilidade de preços será: </w:t>
      </w:r>
    </w:p>
    <w:p w14:paraId="0B954B4E" w14:textId="77777777" w:rsidR="00D13BA1" w:rsidRPr="00D85B3C" w:rsidRDefault="002C5628" w:rsidP="00D85B3C">
      <w:pPr>
        <w:pStyle w:val="PargrafodaLista"/>
        <w:numPr>
          <w:ilvl w:val="2"/>
          <w:numId w:val="16"/>
        </w:numPr>
        <w:tabs>
          <w:tab w:val="left" w:pos="0"/>
          <w:tab w:val="left" w:pos="142"/>
        </w:tabs>
        <w:spacing w:line="360" w:lineRule="auto"/>
        <w:ind w:left="0" w:firstLine="0"/>
        <w:jc w:val="both"/>
        <w:rPr>
          <w:sz w:val="22"/>
          <w:szCs w:val="22"/>
        </w:rPr>
      </w:pPr>
      <w:r w:rsidRPr="00D85B3C">
        <w:rPr>
          <w:sz w:val="22"/>
          <w:szCs w:val="22"/>
          <w:lang w:val="pt-BR"/>
        </w:rPr>
        <w:t>valor global: conforme valor estimado da licitação.</w:t>
      </w:r>
      <w:r w:rsidRPr="00D85B3C">
        <w:rPr>
          <w:sz w:val="22"/>
          <w:szCs w:val="22"/>
          <w:lang w:val="pt-BR"/>
        </w:rPr>
        <w:tab/>
      </w:r>
    </w:p>
    <w:p w14:paraId="1EC7B565" w14:textId="77777777" w:rsidR="00C17636"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lastRenderedPageBreak/>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45A6221B" w14:textId="77777777" w:rsidR="00D860FC" w:rsidRPr="00D85B3C" w:rsidRDefault="001A27B9" w:rsidP="00D85B3C">
      <w:pPr>
        <w:pStyle w:val="PargrafodaLista"/>
        <w:numPr>
          <w:ilvl w:val="2"/>
          <w:numId w:val="16"/>
        </w:numPr>
        <w:tabs>
          <w:tab w:val="left" w:pos="0"/>
          <w:tab w:val="left" w:pos="142"/>
        </w:tabs>
        <w:spacing w:line="360" w:lineRule="auto"/>
        <w:ind w:left="0" w:firstLine="0"/>
        <w:jc w:val="both"/>
        <w:rPr>
          <w:sz w:val="22"/>
          <w:szCs w:val="22"/>
        </w:rPr>
      </w:pPr>
      <w:r w:rsidRPr="00D85B3C">
        <w:rPr>
          <w:sz w:val="22"/>
          <w:szCs w:val="22"/>
        </w:rPr>
        <w:t>Cadastro Nacional de Empresas Inidôneas e Suspensas - CEIS, mantido pela Controladoria-Geral da União (www.portaldatransparencia.gov.br/</w:t>
      </w:r>
      <w:proofErr w:type="spellStart"/>
      <w:r w:rsidRPr="00D85B3C">
        <w:rPr>
          <w:sz w:val="22"/>
          <w:szCs w:val="22"/>
        </w:rPr>
        <w:t>ceis</w:t>
      </w:r>
      <w:proofErr w:type="spellEnd"/>
      <w:r w:rsidRPr="00D85B3C">
        <w:rPr>
          <w:sz w:val="22"/>
          <w:szCs w:val="22"/>
        </w:rPr>
        <w:t xml:space="preserve">);  </w:t>
      </w:r>
    </w:p>
    <w:p w14:paraId="11D1EDD5" w14:textId="577BDBA5" w:rsidR="001A27B9" w:rsidRPr="00D85B3C" w:rsidRDefault="001A27B9" w:rsidP="00D85B3C">
      <w:pPr>
        <w:pStyle w:val="PargrafodaLista"/>
        <w:numPr>
          <w:ilvl w:val="2"/>
          <w:numId w:val="16"/>
        </w:numPr>
        <w:tabs>
          <w:tab w:val="left" w:pos="0"/>
          <w:tab w:val="left" w:pos="142"/>
        </w:tabs>
        <w:spacing w:line="360" w:lineRule="auto"/>
        <w:ind w:left="0" w:firstLine="0"/>
        <w:jc w:val="both"/>
        <w:rPr>
          <w:sz w:val="22"/>
          <w:szCs w:val="22"/>
        </w:rPr>
      </w:pPr>
      <w:r w:rsidRPr="00D85B3C">
        <w:rPr>
          <w:sz w:val="22"/>
          <w:szCs w:val="22"/>
        </w:rPr>
        <w:t>Cadastro Nacional de Condenações Cíveis por Atos de Improbidade Administrativa, mantido pelo Conselho Nacional de Justiça (www.cnj.jus.br/</w:t>
      </w:r>
      <w:proofErr w:type="spellStart"/>
      <w:r w:rsidRPr="00D85B3C">
        <w:rPr>
          <w:sz w:val="22"/>
          <w:szCs w:val="22"/>
        </w:rPr>
        <w:t>improbidade_adm</w:t>
      </w:r>
      <w:proofErr w:type="spellEnd"/>
      <w:r w:rsidRPr="00D85B3C">
        <w:rPr>
          <w:sz w:val="22"/>
          <w:szCs w:val="22"/>
        </w:rPr>
        <w:t>/</w:t>
      </w:r>
      <w:proofErr w:type="spellStart"/>
      <w:r w:rsidRPr="00D85B3C">
        <w:rPr>
          <w:sz w:val="22"/>
          <w:szCs w:val="22"/>
        </w:rPr>
        <w:t>consultar_requerido.php</w:t>
      </w:r>
      <w:proofErr w:type="spellEnd"/>
      <w:r w:rsidRPr="00D85B3C">
        <w:rPr>
          <w:sz w:val="22"/>
          <w:szCs w:val="22"/>
        </w:rPr>
        <w:t xml:space="preserve">).  </w:t>
      </w:r>
    </w:p>
    <w:p w14:paraId="2EC1E00E" w14:textId="77777777" w:rsidR="00D860FC" w:rsidRPr="00D85B3C" w:rsidRDefault="001A27B9" w:rsidP="00D85B3C">
      <w:pPr>
        <w:tabs>
          <w:tab w:val="left" w:pos="0"/>
          <w:tab w:val="left" w:pos="142"/>
        </w:tabs>
        <w:spacing w:line="360" w:lineRule="auto"/>
        <w:jc w:val="both"/>
        <w:rPr>
          <w:sz w:val="22"/>
          <w:szCs w:val="22"/>
        </w:rPr>
      </w:pPr>
      <w:r w:rsidRPr="00D85B3C">
        <w:rPr>
          <w:sz w:val="22"/>
          <w:szCs w:val="22"/>
        </w:rPr>
        <w:t xml:space="preserve">Lista de Inidôneos mantida pelo Tribunal de Contas da União - TCU; </w:t>
      </w:r>
    </w:p>
    <w:p w14:paraId="27051276" w14:textId="77777777" w:rsidR="00334767" w:rsidRPr="00D85B3C" w:rsidRDefault="001A27B9" w:rsidP="00D85B3C">
      <w:pPr>
        <w:pStyle w:val="PargrafodaLista"/>
        <w:numPr>
          <w:ilvl w:val="2"/>
          <w:numId w:val="16"/>
        </w:numPr>
        <w:tabs>
          <w:tab w:val="left" w:pos="0"/>
          <w:tab w:val="left" w:pos="142"/>
        </w:tabs>
        <w:spacing w:line="360" w:lineRule="auto"/>
        <w:ind w:left="0" w:firstLine="0"/>
        <w:jc w:val="both"/>
        <w:rPr>
          <w:sz w:val="22"/>
          <w:szCs w:val="22"/>
        </w:rPr>
      </w:pPr>
      <w:r w:rsidRPr="00D85B3C">
        <w:rPr>
          <w:sz w:val="22"/>
          <w:szCs w:val="22"/>
        </w:rPr>
        <w:t>Para a consulta de fornecedores pessoa jurídica poderá haver a substituição das consultas das alíneas “a”, “b” e “c” acima pela Consulta Consolidada de Pessoa Jurídica do TCU (</w:t>
      </w:r>
      <w:hyperlink r:id="rId9" w:history="1">
        <w:r w:rsidRPr="00D85B3C">
          <w:rPr>
            <w:rStyle w:val="Hyperlink"/>
            <w:sz w:val="22"/>
            <w:szCs w:val="22"/>
          </w:rPr>
          <w:t>https://certidoesapf.apps.tcu.gov.br/</w:t>
        </w:r>
      </w:hyperlink>
      <w:r w:rsidRPr="00D85B3C">
        <w:rPr>
          <w:sz w:val="22"/>
          <w:szCs w:val="22"/>
        </w:rPr>
        <w:t>).</w:t>
      </w:r>
    </w:p>
    <w:p w14:paraId="6EA06F70"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00334767" w:rsidRPr="00D85B3C">
        <w:rPr>
          <w:sz w:val="22"/>
          <w:szCs w:val="22"/>
          <w:lang w:val="pt-BR"/>
        </w:rPr>
        <w:t xml:space="preserve"> </w:t>
      </w:r>
    </w:p>
    <w:p w14:paraId="71D96EBF"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r w:rsidR="00334767" w:rsidRPr="00D85B3C">
        <w:rPr>
          <w:sz w:val="22"/>
          <w:szCs w:val="22"/>
          <w:lang w:val="pt-BR"/>
        </w:rPr>
        <w:t xml:space="preserve"> </w:t>
      </w:r>
    </w:p>
    <w:p w14:paraId="636E6D66"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A tentativa de burla será verificada por meio dos vínculos societários, linhas de fornecimento similares, dentre outros.</w:t>
      </w:r>
      <w:r w:rsidR="00334767" w:rsidRPr="00D85B3C">
        <w:rPr>
          <w:sz w:val="22"/>
          <w:szCs w:val="22"/>
          <w:lang w:val="pt-BR"/>
        </w:rPr>
        <w:t xml:space="preserve"> </w:t>
      </w:r>
    </w:p>
    <w:p w14:paraId="30DAA55A"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O fornecedor será convocado para manifestação previamente a uma eventual negativa de contratação.</w:t>
      </w:r>
      <w:r w:rsidR="00334767" w:rsidRPr="00D85B3C">
        <w:rPr>
          <w:sz w:val="22"/>
          <w:szCs w:val="22"/>
          <w:lang w:val="pt-BR"/>
        </w:rPr>
        <w:t xml:space="preserve"> </w:t>
      </w:r>
    </w:p>
    <w:p w14:paraId="7A09CFCC"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Não serão aceitos documentos de habilitação com indicação de CNPJ/CPF diferentes, salvo aqueles legalmente permitidos.</w:t>
      </w:r>
      <w:r w:rsidR="00334767" w:rsidRPr="00D85B3C">
        <w:rPr>
          <w:sz w:val="22"/>
          <w:szCs w:val="22"/>
          <w:lang w:val="pt-BR"/>
        </w:rPr>
        <w:t xml:space="preserve"> </w:t>
      </w:r>
    </w:p>
    <w:p w14:paraId="59B1ABE0" w14:textId="77777777"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3C6CF76" w14:textId="5489CD73" w:rsidR="00334767"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Serão aceitos registros de CNPJ de fornecedor matriz e filial com diferenças de números de documentos pertinentes ao CND e ao CRF/FGTS, quando for comprovada a centralização do recolhimento dessas contribuições.</w:t>
      </w:r>
      <w:r w:rsidR="00334767" w:rsidRPr="00D85B3C">
        <w:rPr>
          <w:sz w:val="22"/>
          <w:szCs w:val="22"/>
          <w:lang w:val="pt-BR"/>
        </w:rPr>
        <w:t xml:space="preserve"> </w:t>
      </w:r>
    </w:p>
    <w:p w14:paraId="459B8E18" w14:textId="362EC905" w:rsidR="00E82F86" w:rsidRPr="00D85B3C" w:rsidRDefault="00E82F86" w:rsidP="00D85B3C">
      <w:pPr>
        <w:pStyle w:val="PargrafodaLista"/>
        <w:tabs>
          <w:tab w:val="left" w:pos="0"/>
          <w:tab w:val="left" w:pos="142"/>
        </w:tabs>
        <w:spacing w:line="360" w:lineRule="auto"/>
        <w:ind w:left="0"/>
        <w:jc w:val="both"/>
        <w:rPr>
          <w:b/>
          <w:sz w:val="22"/>
          <w:szCs w:val="22"/>
          <w:lang w:val="pt-BR"/>
        </w:rPr>
      </w:pPr>
      <w:r w:rsidRPr="00D85B3C">
        <w:rPr>
          <w:b/>
          <w:sz w:val="22"/>
          <w:szCs w:val="22"/>
          <w:lang w:val="pt-BR"/>
        </w:rPr>
        <w:t>Exigências de Habilitação</w:t>
      </w:r>
    </w:p>
    <w:p w14:paraId="4653C3DD" w14:textId="02524A6A" w:rsidR="00B30DF1" w:rsidRPr="00D85B3C" w:rsidRDefault="001A27B9"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Para fins de contratação, deverá o fornecedor comprovar os seguintes requisitos de habilitação.</w:t>
      </w:r>
    </w:p>
    <w:p w14:paraId="29FD6F4B" w14:textId="15B4CF85" w:rsidR="00E82F86" w:rsidRPr="00D85B3C" w:rsidRDefault="00E82F86" w:rsidP="00D85B3C">
      <w:pPr>
        <w:pStyle w:val="PargrafodaLista"/>
        <w:tabs>
          <w:tab w:val="left" w:pos="0"/>
          <w:tab w:val="left" w:pos="142"/>
        </w:tabs>
        <w:spacing w:line="360" w:lineRule="auto"/>
        <w:ind w:left="0"/>
        <w:jc w:val="both"/>
        <w:rPr>
          <w:b/>
          <w:sz w:val="22"/>
          <w:szCs w:val="22"/>
          <w:lang w:val="pt-BR"/>
        </w:rPr>
      </w:pPr>
      <w:r w:rsidRPr="00D85B3C">
        <w:rPr>
          <w:b/>
          <w:sz w:val="22"/>
          <w:szCs w:val="22"/>
          <w:lang w:val="pt-BR"/>
        </w:rPr>
        <w:t xml:space="preserve">Habilitação Jurídica </w:t>
      </w:r>
    </w:p>
    <w:p w14:paraId="718F9A1A"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lastRenderedPageBreak/>
        <w:t>Pessoa física:</w:t>
      </w:r>
      <w:r w:rsidRPr="00D85B3C">
        <w:rPr>
          <w:sz w:val="22"/>
          <w:szCs w:val="22"/>
        </w:rPr>
        <w:t xml:space="preserve"> cédula de identidade (RG) ou documento equivalente que, por força de lei, tenha validade para fins de identificação em todo o território nacional;</w:t>
      </w:r>
    </w:p>
    <w:p w14:paraId="2D17C66A"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Empresário individual:</w:t>
      </w:r>
      <w:r w:rsidRPr="00D85B3C">
        <w:rPr>
          <w:sz w:val="22"/>
          <w:szCs w:val="22"/>
        </w:rPr>
        <w:t xml:space="preserve"> inscrição no Registro Público de Empresas Mercantis, a cargo da Junta Comercial da respectiva sede; </w:t>
      </w:r>
    </w:p>
    <w:p w14:paraId="0423AACD"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Microempreendedor Individual - MEI:</w:t>
      </w:r>
      <w:r w:rsidRPr="00D85B3C">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Sociedade empresária, sociedade limitada unipessoal – SLU ou sociedade identificada como empresa individual de responsabilidade limitada - EIRELI:</w:t>
      </w:r>
      <w:r w:rsidRPr="00D85B3C">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Sociedade empresária estrangeira:</w:t>
      </w:r>
      <w:r w:rsidRPr="00D85B3C">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Sociedade simples:</w:t>
      </w:r>
      <w:r w:rsidRPr="00D85B3C">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Filial, sucursal ou agência de sociedade simples ou empresária:</w:t>
      </w:r>
      <w:r w:rsidRPr="00D85B3C">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D85B3C">
        <w:rPr>
          <w:sz w:val="22"/>
          <w:szCs w:val="22"/>
          <w:lang w:val="pt-BR"/>
        </w:rPr>
        <w:t>.</w:t>
      </w:r>
    </w:p>
    <w:p w14:paraId="50F45B70" w14:textId="77777777" w:rsidR="001467D5"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b/>
          <w:sz w:val="22"/>
          <w:szCs w:val="22"/>
        </w:rPr>
        <w:t>Sociedade cooperativa:</w:t>
      </w:r>
      <w:r w:rsidRPr="00D85B3C">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Os documentos apresentados deverão estar acompanhados de todas as alterações ou da consolidação respectiva.</w:t>
      </w:r>
    </w:p>
    <w:p w14:paraId="359EB163" w14:textId="77777777" w:rsidR="00E82F86" w:rsidRPr="00D85B3C" w:rsidRDefault="00E82F86" w:rsidP="00D85B3C">
      <w:pPr>
        <w:pStyle w:val="PargrafodaLista"/>
        <w:tabs>
          <w:tab w:val="left" w:pos="0"/>
          <w:tab w:val="left" w:pos="142"/>
        </w:tabs>
        <w:spacing w:line="360" w:lineRule="auto"/>
        <w:ind w:left="0"/>
        <w:jc w:val="both"/>
        <w:rPr>
          <w:b/>
          <w:sz w:val="22"/>
          <w:szCs w:val="22"/>
        </w:rPr>
      </w:pPr>
      <w:r w:rsidRPr="00D85B3C">
        <w:rPr>
          <w:b/>
          <w:sz w:val="22"/>
          <w:szCs w:val="22"/>
        </w:rPr>
        <w:t>Habilitação fiscal, social e trabalhista</w:t>
      </w:r>
    </w:p>
    <w:p w14:paraId="2407FC5B" w14:textId="3C48BD04"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Prova de inscrição no Cadastro Nacional de Pessoas Jurídicas ou no Cadastro de Pessoas Físicas, conforme o caso;</w:t>
      </w:r>
    </w:p>
    <w:p w14:paraId="6168FD48"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lastRenderedPageBreak/>
        <w:t>Prova de regularidade com o Fundo de Garantia do Tempo de Serviço (FGTS);</w:t>
      </w:r>
    </w:p>
    <w:p w14:paraId="39D63A68"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Declaração de que não emprega menor de 18 anos em trabalho noturno, perigoso ou insalubre e não emprega menor de 16 anos, salvo menor, a partir de 14 anos, na condição de aprendiz, nos termos do artigo 7°, XXXIII, da Constituição;</w:t>
      </w:r>
    </w:p>
    <w:p w14:paraId="6A8B88A9" w14:textId="77777777"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bookmarkStart w:id="3" w:name="_Hlk161295820"/>
      <w:r w:rsidRPr="00D85B3C">
        <w:rPr>
          <w:sz w:val="22"/>
          <w:szCs w:val="22"/>
        </w:rPr>
        <w:t>Prova de regularidade com a Fazenda Estadual</w:t>
      </w:r>
      <w:r w:rsidR="001E7B32" w:rsidRPr="00D85B3C">
        <w:rPr>
          <w:sz w:val="22"/>
          <w:szCs w:val="22"/>
          <w:lang w:val="pt-BR"/>
        </w:rPr>
        <w:t xml:space="preserve"> </w:t>
      </w:r>
      <w:r w:rsidRPr="00D85B3C">
        <w:rPr>
          <w:sz w:val="22"/>
          <w:szCs w:val="22"/>
        </w:rPr>
        <w:t>do domicílio ou sede do fornecedor, relativa à atividade em cujo exercício contrata ou concorre</w:t>
      </w:r>
      <w:bookmarkEnd w:id="3"/>
      <w:r w:rsidRPr="00D85B3C">
        <w:rPr>
          <w:sz w:val="22"/>
          <w:szCs w:val="22"/>
        </w:rPr>
        <w:t>;</w:t>
      </w:r>
    </w:p>
    <w:p w14:paraId="07A6029D" w14:textId="2653A69F" w:rsidR="00585306" w:rsidRPr="00D85B3C" w:rsidRDefault="0058530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Prova de regularidade com a Fazenda Municipal do domicílio ou sede do fornecedor, relativa à atividade em cujo exercício contrata ou concorre</w:t>
      </w:r>
    </w:p>
    <w:p w14:paraId="683D6EC3" w14:textId="4D352B4B" w:rsidR="00E82F86" w:rsidRPr="00D85B3C" w:rsidRDefault="00E82F86" w:rsidP="00D85B3C">
      <w:pPr>
        <w:pStyle w:val="PargrafodaLista"/>
        <w:numPr>
          <w:ilvl w:val="1"/>
          <w:numId w:val="16"/>
        </w:numPr>
        <w:tabs>
          <w:tab w:val="left" w:pos="0"/>
          <w:tab w:val="left" w:pos="142"/>
        </w:tabs>
        <w:spacing w:line="360" w:lineRule="auto"/>
        <w:ind w:left="0" w:firstLine="0"/>
        <w:jc w:val="both"/>
        <w:rPr>
          <w:sz w:val="22"/>
          <w:szCs w:val="22"/>
        </w:rPr>
      </w:pPr>
      <w:r w:rsidRPr="00D85B3C">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08ACEC0" w14:textId="77777777" w:rsidR="00B407CD" w:rsidRPr="00B407CD" w:rsidRDefault="00E82F86" w:rsidP="00F01C76">
      <w:pPr>
        <w:pStyle w:val="PargrafodaLista"/>
        <w:numPr>
          <w:ilvl w:val="1"/>
          <w:numId w:val="16"/>
        </w:numPr>
        <w:tabs>
          <w:tab w:val="left" w:pos="0"/>
          <w:tab w:val="left" w:pos="142"/>
        </w:tabs>
        <w:spacing w:line="360" w:lineRule="auto"/>
        <w:ind w:left="0" w:firstLine="0"/>
        <w:jc w:val="both"/>
        <w:rPr>
          <w:sz w:val="22"/>
          <w:szCs w:val="22"/>
          <w:lang w:val="pt-BR"/>
        </w:rPr>
      </w:pPr>
      <w:r w:rsidRPr="00B407CD">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BA8B757" w14:textId="616AB741" w:rsidR="00B407CD" w:rsidRDefault="00585306" w:rsidP="00B407CD">
      <w:pPr>
        <w:pStyle w:val="PargrafodaLista"/>
        <w:numPr>
          <w:ilvl w:val="1"/>
          <w:numId w:val="16"/>
        </w:numPr>
        <w:tabs>
          <w:tab w:val="left" w:pos="0"/>
          <w:tab w:val="left" w:pos="142"/>
        </w:tabs>
        <w:spacing w:line="360" w:lineRule="auto"/>
        <w:ind w:left="0" w:firstLine="0"/>
        <w:jc w:val="both"/>
        <w:rPr>
          <w:sz w:val="22"/>
          <w:szCs w:val="22"/>
          <w:lang w:val="pt-BR"/>
        </w:rPr>
      </w:pPr>
      <w:r w:rsidRPr="00B407CD">
        <w:rPr>
          <w:sz w:val="22"/>
          <w:szCs w:val="22"/>
          <w:lang w:val="pt-BR"/>
        </w:rPr>
        <w:t>C</w:t>
      </w:r>
      <w:r w:rsidR="00521EA0" w:rsidRPr="00B407CD">
        <w:rPr>
          <w:sz w:val="22"/>
          <w:szCs w:val="22"/>
          <w:lang w:val="pt-BR"/>
        </w:rPr>
        <w:t>ertidão negativa de falência expedida pelo distribuidor da sede do fornecedor</w:t>
      </w:r>
      <w:r w:rsidR="00E92105" w:rsidRPr="00B407CD">
        <w:rPr>
          <w:sz w:val="22"/>
          <w:szCs w:val="22"/>
          <w:lang w:val="pt-BR"/>
        </w:rPr>
        <w:t>;</w:t>
      </w:r>
    </w:p>
    <w:p w14:paraId="4AEF8268" w14:textId="10DF4C6B" w:rsidR="00B407CD" w:rsidRPr="00B407CD" w:rsidRDefault="00B407CD" w:rsidP="00B407CD">
      <w:pPr>
        <w:pStyle w:val="PargrafodaLista"/>
        <w:numPr>
          <w:ilvl w:val="2"/>
          <w:numId w:val="16"/>
        </w:numPr>
        <w:spacing w:line="360" w:lineRule="auto"/>
        <w:ind w:left="0" w:firstLine="0"/>
        <w:contextualSpacing w:val="0"/>
        <w:jc w:val="both"/>
        <w:rPr>
          <w:rFonts w:eastAsia="Calibri"/>
          <w:sz w:val="22"/>
          <w:szCs w:val="22"/>
        </w:rPr>
      </w:pPr>
      <w:r w:rsidRPr="00B407CD">
        <w:rPr>
          <w:sz w:val="22"/>
          <w:szCs w:val="22"/>
        </w:rPr>
        <w:t>Comprovação de aptidão da proponente, mediante apresentação de 01 (um) atestado fornecidos por pessoas jurídicas de direito público ou privado, de desempenho de atividades pertinentes e compatíveis com o objeto da presente licitação.</w:t>
      </w:r>
      <w:r w:rsidRPr="00B407CD">
        <w:rPr>
          <w:sz w:val="22"/>
          <w:szCs w:val="22"/>
          <w:lang w:val="pt-BR"/>
        </w:rPr>
        <w:t xml:space="preserve"> </w:t>
      </w:r>
      <w:r w:rsidRPr="00B407CD">
        <w:rPr>
          <w:i/>
          <w:iCs/>
          <w:sz w:val="22"/>
          <w:szCs w:val="22"/>
        </w:rPr>
        <w:t xml:space="preserve">Em não constando todas as informações no atestado, é possível apresentar em anexo, documentos complementares tais como nota fiscal, contrato e outros pertinentes, com dados suficientes para cumprimento da exigência </w:t>
      </w:r>
      <w:proofErr w:type="spellStart"/>
      <w:r w:rsidRPr="00B407CD">
        <w:rPr>
          <w:i/>
          <w:iCs/>
          <w:sz w:val="22"/>
          <w:szCs w:val="22"/>
        </w:rPr>
        <w:t>editalícia</w:t>
      </w:r>
      <w:proofErr w:type="spellEnd"/>
      <w:r w:rsidRPr="00B407CD">
        <w:rPr>
          <w:i/>
          <w:iCs/>
          <w:sz w:val="22"/>
          <w:szCs w:val="22"/>
        </w:rPr>
        <w:t>.</w:t>
      </w:r>
    </w:p>
    <w:p w14:paraId="7765D0AD" w14:textId="228E5F6C" w:rsidR="00B84C93" w:rsidRPr="00D85B3C" w:rsidRDefault="00307DEB" w:rsidP="00D85B3C">
      <w:pPr>
        <w:pStyle w:val="PargrafodaLista"/>
        <w:numPr>
          <w:ilvl w:val="0"/>
          <w:numId w:val="16"/>
        </w:numPr>
        <w:tabs>
          <w:tab w:val="left" w:pos="0"/>
          <w:tab w:val="left" w:pos="142"/>
        </w:tabs>
        <w:spacing w:line="360" w:lineRule="auto"/>
        <w:ind w:left="0" w:firstLine="0"/>
        <w:jc w:val="both"/>
        <w:rPr>
          <w:rFonts w:eastAsia="Calibri"/>
          <w:sz w:val="22"/>
          <w:szCs w:val="22"/>
        </w:rPr>
      </w:pPr>
      <w:r w:rsidRPr="00D85B3C">
        <w:rPr>
          <w:rFonts w:eastAsia="Calibri"/>
          <w:b/>
          <w:sz w:val="22"/>
          <w:szCs w:val="22"/>
        </w:rPr>
        <w:t>ESTIMATIVAS DO VALOR DA CONTRATAÇÃO</w:t>
      </w:r>
    </w:p>
    <w:p w14:paraId="6DDAC5EF" w14:textId="3DC188F9" w:rsidR="004F55DC" w:rsidRPr="00D85B3C" w:rsidRDefault="00B84C93"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sz w:val="22"/>
          <w:szCs w:val="22"/>
        </w:rPr>
        <w:t xml:space="preserve">O custo estimado total da contratação é de </w:t>
      </w:r>
      <w:r w:rsidR="00D60CB2" w:rsidRPr="00D60CB2">
        <w:rPr>
          <w:sz w:val="22"/>
          <w:szCs w:val="22"/>
        </w:rPr>
        <w:t>R$38.519,99 (trinta e oito mil e quinhentos e dezenove reais e noventa e nove centavos)</w:t>
      </w:r>
      <w:r w:rsidRPr="00D85B3C">
        <w:rPr>
          <w:sz w:val="22"/>
          <w:szCs w:val="22"/>
        </w:rPr>
        <w:t xml:space="preserve">, conforme custos unitários apostos na </w:t>
      </w:r>
      <w:r w:rsidR="00D90DAE" w:rsidRPr="00D85B3C">
        <w:rPr>
          <w:sz w:val="22"/>
          <w:szCs w:val="22"/>
          <w:lang w:val="pt-BR"/>
        </w:rPr>
        <w:t>tabela</w:t>
      </w:r>
      <w:r w:rsidRPr="00D85B3C">
        <w:rPr>
          <w:sz w:val="22"/>
          <w:szCs w:val="22"/>
        </w:rPr>
        <w:t xml:space="preserve"> anex</w:t>
      </w:r>
      <w:r w:rsidR="00D90DAE" w:rsidRPr="00D85B3C">
        <w:rPr>
          <w:sz w:val="22"/>
          <w:szCs w:val="22"/>
          <w:lang w:val="pt-BR"/>
        </w:rPr>
        <w:t>a</w:t>
      </w:r>
      <w:r w:rsidR="00E57296" w:rsidRPr="00D85B3C">
        <w:rPr>
          <w:sz w:val="22"/>
          <w:szCs w:val="22"/>
          <w:lang w:val="pt-BR"/>
        </w:rPr>
        <w:t>.</w:t>
      </w:r>
    </w:p>
    <w:p w14:paraId="7BBCF9CD" w14:textId="77777777" w:rsidR="00844D73" w:rsidRPr="00D85B3C" w:rsidRDefault="001A27B9" w:rsidP="00D85B3C">
      <w:pPr>
        <w:pStyle w:val="PargrafodaLista"/>
        <w:numPr>
          <w:ilvl w:val="0"/>
          <w:numId w:val="16"/>
        </w:numPr>
        <w:tabs>
          <w:tab w:val="left" w:pos="0"/>
          <w:tab w:val="left" w:pos="142"/>
        </w:tabs>
        <w:spacing w:line="360" w:lineRule="auto"/>
        <w:ind w:left="0" w:firstLine="0"/>
        <w:jc w:val="both"/>
        <w:rPr>
          <w:rFonts w:eastAsia="Calibri"/>
          <w:b/>
          <w:sz w:val="22"/>
          <w:szCs w:val="22"/>
        </w:rPr>
      </w:pPr>
      <w:r w:rsidRPr="00D85B3C">
        <w:rPr>
          <w:b/>
          <w:sz w:val="22"/>
          <w:szCs w:val="22"/>
        </w:rPr>
        <w:t xml:space="preserve">ADEQUAÇÃO ORÇAMENTÁRIA </w:t>
      </w:r>
    </w:p>
    <w:p w14:paraId="58918277" w14:textId="0C0AAA19" w:rsidR="001A27B9" w:rsidRPr="00D85B3C" w:rsidRDefault="0063478B" w:rsidP="00D85B3C">
      <w:pPr>
        <w:pStyle w:val="PargrafodaLista"/>
        <w:numPr>
          <w:ilvl w:val="1"/>
          <w:numId w:val="16"/>
        </w:numPr>
        <w:tabs>
          <w:tab w:val="left" w:pos="0"/>
          <w:tab w:val="left" w:pos="142"/>
        </w:tabs>
        <w:spacing w:line="360" w:lineRule="auto"/>
        <w:ind w:left="0" w:firstLine="0"/>
        <w:jc w:val="both"/>
        <w:rPr>
          <w:rFonts w:eastAsia="Calibri"/>
          <w:b/>
          <w:sz w:val="22"/>
          <w:szCs w:val="22"/>
        </w:rPr>
      </w:pPr>
      <w:r w:rsidRPr="00D85B3C">
        <w:rPr>
          <w:rFonts w:eastAsia="Calibri"/>
          <w:sz w:val="22"/>
          <w:szCs w:val="22"/>
        </w:rPr>
        <w:t>D</w:t>
      </w:r>
      <w:r w:rsidR="001A27B9" w:rsidRPr="00D85B3C">
        <w:rPr>
          <w:rFonts w:eastAsia="Calibri"/>
          <w:sz w:val="22"/>
          <w:szCs w:val="22"/>
        </w:rPr>
        <w:t>espesas decorrentes da presente contratação correrão à conta de recursos específicos consignados no Orçamento Geral do Município.</w:t>
      </w:r>
    </w:p>
    <w:p w14:paraId="6146F4FB" w14:textId="77777777" w:rsidR="001A27B9" w:rsidRPr="00D85B3C" w:rsidRDefault="001A27B9" w:rsidP="00D85B3C">
      <w:pPr>
        <w:tabs>
          <w:tab w:val="left" w:pos="0"/>
          <w:tab w:val="left" w:pos="142"/>
        </w:tabs>
        <w:spacing w:line="360" w:lineRule="auto"/>
        <w:jc w:val="both"/>
        <w:rPr>
          <w:rFonts w:eastAsia="Calibri"/>
          <w:sz w:val="22"/>
          <w:szCs w:val="22"/>
        </w:rPr>
      </w:pPr>
      <w:r w:rsidRPr="00D85B3C">
        <w:rPr>
          <w:rFonts w:eastAsia="Calibri"/>
          <w:sz w:val="22"/>
          <w:szCs w:val="22"/>
        </w:rPr>
        <w:t>A contratação será atendida pela seguinte dotação:</w:t>
      </w:r>
    </w:p>
    <w:p w14:paraId="62E973CD" w14:textId="722EC493" w:rsidR="00EB51F6" w:rsidRPr="00D85B3C" w:rsidRDefault="00EB51F6" w:rsidP="00D85B3C">
      <w:pPr>
        <w:spacing w:line="360" w:lineRule="auto"/>
        <w:rPr>
          <w:rFonts w:eastAsiaTheme="minorHAnsi"/>
          <w:b/>
          <w:sz w:val="22"/>
          <w:szCs w:val="22"/>
          <w:lang w:eastAsia="en-US"/>
        </w:rPr>
      </w:pPr>
      <w:r w:rsidRPr="00D85B3C">
        <w:rPr>
          <w:rFonts w:eastAsiaTheme="minorHAnsi"/>
          <w:b/>
          <w:sz w:val="22"/>
          <w:szCs w:val="22"/>
          <w:lang w:eastAsia="en-US"/>
        </w:rPr>
        <w:t>Ficha 37</w:t>
      </w:r>
      <w:r w:rsidR="00293044">
        <w:rPr>
          <w:rFonts w:eastAsiaTheme="minorHAnsi"/>
          <w:b/>
          <w:sz w:val="22"/>
          <w:szCs w:val="22"/>
          <w:lang w:eastAsia="en-US"/>
        </w:rPr>
        <w:t>9</w:t>
      </w:r>
    </w:p>
    <w:p w14:paraId="310C5976"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Órgão: 02 PODER EXECUTIVO</w:t>
      </w:r>
    </w:p>
    <w:p w14:paraId="41D0E37A"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Unidade: 02.10 SECRETARIA DE CULTURA E TURISMO</w:t>
      </w:r>
    </w:p>
    <w:p w14:paraId="05B39079" w14:textId="77777777" w:rsidR="00EB51F6" w:rsidRPr="00D85B3C" w:rsidRDefault="00EB51F6" w:rsidP="00D85B3C">
      <w:pPr>
        <w:spacing w:line="360" w:lineRule="auto"/>
        <w:rPr>
          <w:rFonts w:eastAsiaTheme="minorHAnsi"/>
          <w:sz w:val="22"/>
          <w:szCs w:val="22"/>
          <w:lang w:eastAsia="en-US"/>
        </w:rPr>
      </w:pPr>
      <w:proofErr w:type="spellStart"/>
      <w:r w:rsidRPr="00D85B3C">
        <w:rPr>
          <w:rFonts w:eastAsiaTheme="minorHAnsi"/>
          <w:sz w:val="22"/>
          <w:szCs w:val="22"/>
          <w:lang w:eastAsia="en-US"/>
        </w:rPr>
        <w:t>Sub-Unidade</w:t>
      </w:r>
      <w:proofErr w:type="spellEnd"/>
      <w:r w:rsidRPr="00D85B3C">
        <w:rPr>
          <w:rFonts w:eastAsiaTheme="minorHAnsi"/>
          <w:sz w:val="22"/>
          <w:szCs w:val="22"/>
          <w:lang w:eastAsia="en-US"/>
        </w:rPr>
        <w:t>: 02.10.01 COORD. DA SEC. DE CULTURA E TURISMO</w:t>
      </w:r>
    </w:p>
    <w:p w14:paraId="54BA1A91"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lastRenderedPageBreak/>
        <w:t xml:space="preserve">Funcional Programática: </w:t>
      </w:r>
      <w:r w:rsidRPr="00D85B3C">
        <w:rPr>
          <w:rFonts w:eastAsiaTheme="minorHAnsi"/>
          <w:bCs/>
          <w:sz w:val="22"/>
          <w:szCs w:val="22"/>
          <w:lang w:eastAsia="en-US"/>
        </w:rPr>
        <w:t>13.122.0003.4080 Atividades da Sec. de Cultura e Turismo</w:t>
      </w:r>
    </w:p>
    <w:p w14:paraId="029A17C1"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Elemento da Despesa: 3.3.90.35.00 Serviços de Consultoria</w:t>
      </w:r>
    </w:p>
    <w:p w14:paraId="6C8DE9E1"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 xml:space="preserve">Fonte de Recurso: 1.500.000.0000 Recursos não vinculados de Impostos </w:t>
      </w:r>
    </w:p>
    <w:p w14:paraId="1B52415F" w14:textId="47C655A2" w:rsidR="00EB51F6" w:rsidRPr="00D85B3C" w:rsidRDefault="00EB51F6" w:rsidP="00D85B3C">
      <w:pPr>
        <w:spacing w:line="360" w:lineRule="auto"/>
        <w:rPr>
          <w:rFonts w:eastAsiaTheme="minorHAnsi"/>
          <w:b/>
          <w:sz w:val="22"/>
          <w:szCs w:val="22"/>
          <w:lang w:eastAsia="en-US"/>
        </w:rPr>
      </w:pPr>
      <w:r w:rsidRPr="00D85B3C">
        <w:rPr>
          <w:rFonts w:eastAsiaTheme="minorHAnsi"/>
          <w:b/>
          <w:sz w:val="22"/>
          <w:szCs w:val="22"/>
          <w:lang w:eastAsia="en-US"/>
        </w:rPr>
        <w:t xml:space="preserve">Ficha </w:t>
      </w:r>
      <w:r w:rsidR="00293044">
        <w:rPr>
          <w:rFonts w:eastAsiaTheme="minorHAnsi"/>
          <w:b/>
          <w:sz w:val="22"/>
          <w:szCs w:val="22"/>
          <w:lang w:eastAsia="en-US"/>
        </w:rPr>
        <w:t>501</w:t>
      </w:r>
    </w:p>
    <w:p w14:paraId="3DA2A1D1"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Órgão: 02 PODER EXECUTIVO</w:t>
      </w:r>
    </w:p>
    <w:p w14:paraId="2326B3A2"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Unidade: 02.14 SECRETARIA DE ESPORTE, LAZER E JUVENTUD</w:t>
      </w:r>
    </w:p>
    <w:p w14:paraId="1EC60620" w14:textId="77777777" w:rsidR="00EB51F6" w:rsidRPr="00D85B3C" w:rsidRDefault="00EB51F6" w:rsidP="00D85B3C">
      <w:pPr>
        <w:spacing w:line="360" w:lineRule="auto"/>
        <w:rPr>
          <w:rFonts w:eastAsiaTheme="minorHAnsi"/>
          <w:sz w:val="22"/>
          <w:szCs w:val="22"/>
          <w:lang w:eastAsia="en-US"/>
        </w:rPr>
      </w:pPr>
      <w:proofErr w:type="spellStart"/>
      <w:r w:rsidRPr="00D85B3C">
        <w:rPr>
          <w:rFonts w:eastAsiaTheme="minorHAnsi"/>
          <w:sz w:val="22"/>
          <w:szCs w:val="22"/>
          <w:lang w:eastAsia="en-US"/>
        </w:rPr>
        <w:t>Sub-Unidade</w:t>
      </w:r>
      <w:proofErr w:type="spellEnd"/>
      <w:r w:rsidRPr="00D85B3C">
        <w:rPr>
          <w:rFonts w:eastAsiaTheme="minorHAnsi"/>
          <w:sz w:val="22"/>
          <w:szCs w:val="22"/>
          <w:lang w:eastAsia="en-US"/>
        </w:rPr>
        <w:t>: 02.14.01 COORD. DA SECRETARIA DE ESPORTE E LAZER</w:t>
      </w:r>
    </w:p>
    <w:p w14:paraId="2DE5BCE9"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 xml:space="preserve">Funcional Programática: </w:t>
      </w:r>
      <w:r w:rsidRPr="00D85B3C">
        <w:rPr>
          <w:rFonts w:eastAsiaTheme="minorHAnsi"/>
          <w:bCs/>
          <w:sz w:val="22"/>
          <w:szCs w:val="22"/>
          <w:lang w:eastAsia="en-US"/>
        </w:rPr>
        <w:t>27.812.0014.4105 Atividades da Sec. de Esporte e Lazer</w:t>
      </w:r>
    </w:p>
    <w:p w14:paraId="618D14D4"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Elemento da Despesa: 3.3.90.39.00 Outros Serv. Terceiros - Pessoa Jurídica</w:t>
      </w:r>
    </w:p>
    <w:p w14:paraId="7C64EF37" w14:textId="77777777" w:rsidR="00EB51F6" w:rsidRPr="00D85B3C" w:rsidRDefault="00EB51F6" w:rsidP="00D85B3C">
      <w:pPr>
        <w:spacing w:line="360" w:lineRule="auto"/>
        <w:rPr>
          <w:rFonts w:eastAsiaTheme="minorHAnsi"/>
          <w:sz w:val="22"/>
          <w:szCs w:val="22"/>
          <w:lang w:eastAsia="en-US"/>
        </w:rPr>
      </w:pPr>
      <w:r w:rsidRPr="00D85B3C">
        <w:rPr>
          <w:rFonts w:eastAsiaTheme="minorHAnsi"/>
          <w:sz w:val="22"/>
          <w:szCs w:val="22"/>
          <w:lang w:eastAsia="en-US"/>
        </w:rPr>
        <w:t xml:space="preserve">Fonte de Recurso: 1.500.000.0000 Recursos não vinculados de Impostos </w:t>
      </w:r>
    </w:p>
    <w:p w14:paraId="2483E753" w14:textId="4591E614" w:rsidR="005B4A7B" w:rsidRPr="00D85B3C" w:rsidRDefault="001A27B9" w:rsidP="00D85B3C">
      <w:pPr>
        <w:pStyle w:val="PargrafodaLista"/>
        <w:numPr>
          <w:ilvl w:val="1"/>
          <w:numId w:val="16"/>
        </w:numPr>
        <w:tabs>
          <w:tab w:val="left" w:pos="0"/>
          <w:tab w:val="left" w:pos="142"/>
        </w:tabs>
        <w:spacing w:line="360" w:lineRule="auto"/>
        <w:ind w:left="0" w:firstLine="0"/>
        <w:jc w:val="both"/>
        <w:rPr>
          <w:rFonts w:eastAsia="Calibri"/>
          <w:sz w:val="22"/>
          <w:szCs w:val="22"/>
        </w:rPr>
      </w:pPr>
      <w:r w:rsidRPr="00D85B3C">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D85B3C">
        <w:rPr>
          <w:rFonts w:eastAsia="Calibri"/>
          <w:sz w:val="22"/>
          <w:szCs w:val="22"/>
        </w:rPr>
        <w:t xml:space="preserve">         </w:t>
      </w:r>
    </w:p>
    <w:p w14:paraId="62698639" w14:textId="77777777" w:rsidR="006B55BC" w:rsidRPr="00D85B3C" w:rsidRDefault="006B55BC" w:rsidP="00D85B3C">
      <w:pPr>
        <w:tabs>
          <w:tab w:val="left" w:pos="0"/>
          <w:tab w:val="left" w:pos="142"/>
        </w:tabs>
        <w:spacing w:line="360" w:lineRule="auto"/>
        <w:jc w:val="center"/>
        <w:rPr>
          <w:sz w:val="22"/>
          <w:szCs w:val="22"/>
        </w:rPr>
      </w:pPr>
    </w:p>
    <w:sectPr w:rsidR="006B55BC" w:rsidRPr="00D85B3C" w:rsidSect="00A62E82">
      <w:headerReference w:type="default" r:id="rId10"/>
      <w:footerReference w:type="default" r:id="rId11"/>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9DCA" w14:textId="77777777" w:rsidR="00FA3F92" w:rsidRDefault="00FA3F92">
      <w:r>
        <w:separator/>
      </w:r>
    </w:p>
  </w:endnote>
  <w:endnote w:type="continuationSeparator" w:id="0">
    <w:p w14:paraId="15974CEF" w14:textId="77777777" w:rsidR="00FA3F92" w:rsidRDefault="00FA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3792F3FA" w:rsidR="00DA307E" w:rsidRDefault="00FA3F92" w:rsidP="00DA307E">
    <w:pPr>
      <w:tabs>
        <w:tab w:val="center" w:pos="4252"/>
        <w:tab w:val="right" w:pos="8504"/>
      </w:tabs>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6"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C95AB9">
      <w:rPr>
        <w:noProof/>
      </w:rPr>
      <w:drawing>
        <wp:anchor distT="0" distB="0" distL="114300" distR="114300" simplePos="0" relativeHeight="251658240" behindDoc="0" locked="0" layoutInCell="1" allowOverlap="1" wp14:anchorId="0ED9E000" wp14:editId="7FB5A60E">
          <wp:simplePos x="0" y="0"/>
          <wp:positionH relativeFrom="page">
            <wp:align>right</wp:align>
          </wp:positionH>
          <wp:positionV relativeFrom="page">
            <wp:posOffset>9708475</wp:posOffset>
          </wp:positionV>
          <wp:extent cx="7634605" cy="998220"/>
          <wp:effectExtent l="0" t="0" r="4445"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307E" w:rsidRPr="00DA307E">
      <w:rPr>
        <w:noProof/>
      </w:rPr>
      <w:drawing>
        <wp:anchor distT="0" distB="0" distL="114300" distR="114300" simplePos="0" relativeHeight="251656192" behindDoc="0" locked="0" layoutInCell="1" allowOverlap="1" wp14:anchorId="13F6A371" wp14:editId="6DBDEF7F">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FAC8" w14:textId="77777777" w:rsidR="00FA3F92" w:rsidRDefault="00FA3F92">
      <w:r>
        <w:separator/>
      </w:r>
    </w:p>
  </w:footnote>
  <w:footnote w:type="continuationSeparator" w:id="0">
    <w:p w14:paraId="6F935D15" w14:textId="77777777" w:rsidR="00FA3F92" w:rsidRDefault="00FA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3A0A9" w14:textId="08ECD20A" w:rsidR="001171DC" w:rsidRDefault="00C95AB9">
    <w:pPr>
      <w:pStyle w:val="Cabealho"/>
    </w:pPr>
    <w:r>
      <w:rPr>
        <w:noProof/>
      </w:rPr>
      <w:drawing>
        <wp:anchor distT="0" distB="0" distL="114300" distR="114300" simplePos="0" relativeHeight="251657216" behindDoc="0" locked="0" layoutInCell="1" allowOverlap="1" wp14:anchorId="00427DA3" wp14:editId="3E6F0EC1">
          <wp:simplePos x="0" y="0"/>
          <wp:positionH relativeFrom="page">
            <wp:align>left</wp:align>
          </wp:positionH>
          <wp:positionV relativeFrom="page">
            <wp:align>top</wp:align>
          </wp:positionV>
          <wp:extent cx="7637145" cy="1295400"/>
          <wp:effectExtent l="0" t="0" r="190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15:restartNumberingAfterBreak="0">
    <w:nsid w:val="17460A4D"/>
    <w:multiLevelType w:val="multilevel"/>
    <w:tmpl w:val="064A8942"/>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3811EE"/>
    <w:multiLevelType w:val="multilevel"/>
    <w:tmpl w:val="CF7EAFA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3"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0"/>
  </w:num>
  <w:num w:numId="3">
    <w:abstractNumId w:val="15"/>
  </w:num>
  <w:num w:numId="4">
    <w:abstractNumId w:val="5"/>
  </w:num>
  <w:num w:numId="5">
    <w:abstractNumId w:val="14"/>
  </w:num>
  <w:num w:numId="6">
    <w:abstractNumId w:val="13"/>
  </w:num>
  <w:num w:numId="7">
    <w:abstractNumId w:val="16"/>
  </w:num>
  <w:num w:numId="8">
    <w:abstractNumId w:val="1"/>
  </w:num>
  <w:num w:numId="9">
    <w:abstractNumId w:val="10"/>
  </w:num>
  <w:num w:numId="10">
    <w:abstractNumId w:val="11"/>
  </w:num>
  <w:num w:numId="11">
    <w:abstractNumId w:val="4"/>
  </w:num>
  <w:num w:numId="12">
    <w:abstractNumId w:val="3"/>
  </w:num>
  <w:num w:numId="13">
    <w:abstractNumId w:val="7"/>
  </w:num>
  <w:num w:numId="14">
    <w:abstractNumId w:val="12"/>
  </w:num>
  <w:num w:numId="15">
    <w:abstractNumId w:val="2"/>
  </w:num>
  <w:num w:numId="16">
    <w:abstractNumId w:val="8"/>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6AC8"/>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5524"/>
    <w:rsid w:val="00066C58"/>
    <w:rsid w:val="00070118"/>
    <w:rsid w:val="0007066F"/>
    <w:rsid w:val="00072A62"/>
    <w:rsid w:val="00075A7D"/>
    <w:rsid w:val="0008623F"/>
    <w:rsid w:val="0009011B"/>
    <w:rsid w:val="00090BA2"/>
    <w:rsid w:val="00090D4D"/>
    <w:rsid w:val="00090DAF"/>
    <w:rsid w:val="000924E0"/>
    <w:rsid w:val="0009505B"/>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6093D"/>
    <w:rsid w:val="0016143B"/>
    <w:rsid w:val="00162F7D"/>
    <w:rsid w:val="001632EC"/>
    <w:rsid w:val="00166896"/>
    <w:rsid w:val="00170998"/>
    <w:rsid w:val="00170B86"/>
    <w:rsid w:val="001711CA"/>
    <w:rsid w:val="00171F07"/>
    <w:rsid w:val="0017296C"/>
    <w:rsid w:val="00172B65"/>
    <w:rsid w:val="00172F66"/>
    <w:rsid w:val="001747E5"/>
    <w:rsid w:val="00176385"/>
    <w:rsid w:val="001815C6"/>
    <w:rsid w:val="00181D85"/>
    <w:rsid w:val="001829CC"/>
    <w:rsid w:val="00183014"/>
    <w:rsid w:val="0018416A"/>
    <w:rsid w:val="001843A5"/>
    <w:rsid w:val="00185BF4"/>
    <w:rsid w:val="00190C46"/>
    <w:rsid w:val="001911A2"/>
    <w:rsid w:val="001965B4"/>
    <w:rsid w:val="001A047C"/>
    <w:rsid w:val="001A094B"/>
    <w:rsid w:val="001A26AE"/>
    <w:rsid w:val="001A27B9"/>
    <w:rsid w:val="001A5260"/>
    <w:rsid w:val="001A6CBA"/>
    <w:rsid w:val="001B0F45"/>
    <w:rsid w:val="001B1EBA"/>
    <w:rsid w:val="001B3983"/>
    <w:rsid w:val="001B3A63"/>
    <w:rsid w:val="001B3C92"/>
    <w:rsid w:val="001B4D63"/>
    <w:rsid w:val="001B66D3"/>
    <w:rsid w:val="001B73D0"/>
    <w:rsid w:val="001B7D82"/>
    <w:rsid w:val="001C1D04"/>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AF8"/>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3044"/>
    <w:rsid w:val="00295BB2"/>
    <w:rsid w:val="00297957"/>
    <w:rsid w:val="00297C8D"/>
    <w:rsid w:val="002A14DE"/>
    <w:rsid w:val="002A61CE"/>
    <w:rsid w:val="002A6621"/>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0D32"/>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516B"/>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39CC"/>
    <w:rsid w:val="005067A9"/>
    <w:rsid w:val="00510E98"/>
    <w:rsid w:val="0051129F"/>
    <w:rsid w:val="005132BC"/>
    <w:rsid w:val="005140A6"/>
    <w:rsid w:val="00515032"/>
    <w:rsid w:val="00515BF6"/>
    <w:rsid w:val="00515D3A"/>
    <w:rsid w:val="0051766D"/>
    <w:rsid w:val="00521EA0"/>
    <w:rsid w:val="00523C48"/>
    <w:rsid w:val="00525B5A"/>
    <w:rsid w:val="005260B8"/>
    <w:rsid w:val="005266A3"/>
    <w:rsid w:val="005271A6"/>
    <w:rsid w:val="005332BD"/>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E308A"/>
    <w:rsid w:val="005E5B38"/>
    <w:rsid w:val="005E5D61"/>
    <w:rsid w:val="005E6478"/>
    <w:rsid w:val="005E712F"/>
    <w:rsid w:val="005E75A4"/>
    <w:rsid w:val="005F03A2"/>
    <w:rsid w:val="005F12E3"/>
    <w:rsid w:val="005F16C8"/>
    <w:rsid w:val="005F1B8E"/>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6D1D"/>
    <w:rsid w:val="007B6287"/>
    <w:rsid w:val="007B7C37"/>
    <w:rsid w:val="007C779C"/>
    <w:rsid w:val="007C7FFE"/>
    <w:rsid w:val="007D1751"/>
    <w:rsid w:val="007D43F3"/>
    <w:rsid w:val="007D5B0A"/>
    <w:rsid w:val="007D7EC5"/>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B0F34"/>
    <w:rsid w:val="008B1350"/>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328C"/>
    <w:rsid w:val="00985BD5"/>
    <w:rsid w:val="00986238"/>
    <w:rsid w:val="00992DB5"/>
    <w:rsid w:val="00993621"/>
    <w:rsid w:val="009945D3"/>
    <w:rsid w:val="00995BF2"/>
    <w:rsid w:val="00996A13"/>
    <w:rsid w:val="00997073"/>
    <w:rsid w:val="00997734"/>
    <w:rsid w:val="009A1576"/>
    <w:rsid w:val="009A2811"/>
    <w:rsid w:val="009A7039"/>
    <w:rsid w:val="009A794F"/>
    <w:rsid w:val="009B00AE"/>
    <w:rsid w:val="009B0CC8"/>
    <w:rsid w:val="009B3F1D"/>
    <w:rsid w:val="009B4832"/>
    <w:rsid w:val="009C0E9D"/>
    <w:rsid w:val="009C1B5C"/>
    <w:rsid w:val="009C2C14"/>
    <w:rsid w:val="009C3DE4"/>
    <w:rsid w:val="009C6378"/>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1BE5"/>
    <w:rsid w:val="00AD4533"/>
    <w:rsid w:val="00AD66A0"/>
    <w:rsid w:val="00AD74DC"/>
    <w:rsid w:val="00AE10B4"/>
    <w:rsid w:val="00AE1736"/>
    <w:rsid w:val="00AE4B12"/>
    <w:rsid w:val="00AF1C42"/>
    <w:rsid w:val="00AF1FC9"/>
    <w:rsid w:val="00AF5869"/>
    <w:rsid w:val="00B02DA0"/>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07C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1F0C"/>
    <w:rsid w:val="00BB2094"/>
    <w:rsid w:val="00BB36F0"/>
    <w:rsid w:val="00BC112E"/>
    <w:rsid w:val="00BC2DBE"/>
    <w:rsid w:val="00BC63AF"/>
    <w:rsid w:val="00BD1C22"/>
    <w:rsid w:val="00BD35BC"/>
    <w:rsid w:val="00BD385E"/>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95AB9"/>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5E66"/>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D33"/>
    <w:rsid w:val="00D34FFC"/>
    <w:rsid w:val="00D363F5"/>
    <w:rsid w:val="00D3715C"/>
    <w:rsid w:val="00D40149"/>
    <w:rsid w:val="00D42661"/>
    <w:rsid w:val="00D432AA"/>
    <w:rsid w:val="00D46FAD"/>
    <w:rsid w:val="00D51DAF"/>
    <w:rsid w:val="00D53686"/>
    <w:rsid w:val="00D537BF"/>
    <w:rsid w:val="00D55AE7"/>
    <w:rsid w:val="00D55C77"/>
    <w:rsid w:val="00D57480"/>
    <w:rsid w:val="00D60CB2"/>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43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5068"/>
    <w:rsid w:val="00DE741D"/>
    <w:rsid w:val="00DF0000"/>
    <w:rsid w:val="00DF07E1"/>
    <w:rsid w:val="00DF15A0"/>
    <w:rsid w:val="00DF24DB"/>
    <w:rsid w:val="00E01741"/>
    <w:rsid w:val="00E018DF"/>
    <w:rsid w:val="00E01DD8"/>
    <w:rsid w:val="00E025E7"/>
    <w:rsid w:val="00E111E4"/>
    <w:rsid w:val="00E13812"/>
    <w:rsid w:val="00E1560A"/>
    <w:rsid w:val="00E16B42"/>
    <w:rsid w:val="00E21A05"/>
    <w:rsid w:val="00E24698"/>
    <w:rsid w:val="00E25B6F"/>
    <w:rsid w:val="00E25DD3"/>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4999"/>
    <w:rsid w:val="00E65353"/>
    <w:rsid w:val="00E65DFD"/>
    <w:rsid w:val="00E66265"/>
    <w:rsid w:val="00E66420"/>
    <w:rsid w:val="00E668CC"/>
    <w:rsid w:val="00E679B9"/>
    <w:rsid w:val="00E704C5"/>
    <w:rsid w:val="00E74F04"/>
    <w:rsid w:val="00E760EF"/>
    <w:rsid w:val="00E7736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3F92"/>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ltura@catuji.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ertidoesapf.apps.tcu.gov.b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A5A0-AA23-4FFD-8209-2715F321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6827</Words>
  <Characters>36870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43610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5</cp:revision>
  <cp:lastPrinted>2024-07-02T16:19:00Z</cp:lastPrinted>
  <dcterms:created xsi:type="dcterms:W3CDTF">2025-07-03T18:04:00Z</dcterms:created>
  <dcterms:modified xsi:type="dcterms:W3CDTF">2025-07-21T17:11:00Z</dcterms:modified>
</cp:coreProperties>
</file>