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A4F08D1" w:rsidR="00C33E85" w:rsidRDefault="00C85345" w:rsidP="00515E4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1F66E2">
        <w:rPr>
          <w:b/>
          <w:sz w:val="22"/>
          <w:szCs w:val="22"/>
        </w:rPr>
        <w:t>TERMO DE REFERÊNCIA</w:t>
      </w:r>
    </w:p>
    <w:p w14:paraId="25120E5F" w14:textId="40BE2130" w:rsidR="00C85345" w:rsidRDefault="00C85345" w:rsidP="00515E48">
      <w:pPr>
        <w:tabs>
          <w:tab w:val="left" w:pos="0"/>
          <w:tab w:val="left" w:pos="142"/>
        </w:tabs>
        <w:spacing w:line="360" w:lineRule="auto"/>
        <w:jc w:val="center"/>
        <w:rPr>
          <w:b/>
          <w:sz w:val="22"/>
          <w:szCs w:val="22"/>
        </w:rPr>
      </w:pPr>
    </w:p>
    <w:p w14:paraId="4B1A1468" w14:textId="5743FF2D" w:rsidR="00C85345" w:rsidRPr="009D752C" w:rsidRDefault="00C85345" w:rsidP="00C85345">
      <w:pPr>
        <w:spacing w:line="360" w:lineRule="auto"/>
        <w:rPr>
          <w:b/>
          <w:sz w:val="22"/>
          <w:szCs w:val="22"/>
        </w:rPr>
      </w:pPr>
      <w:bookmarkStart w:id="1" w:name="_Hlk192685792"/>
      <w:r w:rsidRPr="009D752C">
        <w:rPr>
          <w:b/>
          <w:sz w:val="22"/>
          <w:szCs w:val="22"/>
        </w:rPr>
        <w:t xml:space="preserve">PROCESSO LICITATÓRIO Nº </w:t>
      </w:r>
      <w:r>
        <w:rPr>
          <w:b/>
          <w:sz w:val="22"/>
          <w:szCs w:val="22"/>
        </w:rPr>
        <w:t>039/2025</w:t>
      </w:r>
    </w:p>
    <w:p w14:paraId="428DA589" w14:textId="27B0AD1D" w:rsidR="00C85345" w:rsidRPr="009D752C" w:rsidRDefault="00C85345" w:rsidP="00C85345">
      <w:pPr>
        <w:spacing w:line="360" w:lineRule="auto"/>
        <w:rPr>
          <w:b/>
          <w:sz w:val="22"/>
          <w:szCs w:val="22"/>
        </w:rPr>
      </w:pPr>
      <w:r w:rsidRPr="009D752C">
        <w:rPr>
          <w:b/>
          <w:sz w:val="22"/>
          <w:szCs w:val="22"/>
        </w:rPr>
        <w:t xml:space="preserve">PREGÃO ELETRONICO Nº </w:t>
      </w:r>
      <w:bookmarkEnd w:id="1"/>
      <w:r>
        <w:rPr>
          <w:b/>
          <w:sz w:val="22"/>
          <w:szCs w:val="22"/>
        </w:rPr>
        <w:t>011/2025</w:t>
      </w:r>
    </w:p>
    <w:p w14:paraId="1C6533DB" w14:textId="77777777" w:rsidR="009F2D68" w:rsidRPr="001F66E2" w:rsidRDefault="009F2D68" w:rsidP="00515E48">
      <w:pPr>
        <w:tabs>
          <w:tab w:val="left" w:pos="0"/>
          <w:tab w:val="left" w:pos="142"/>
        </w:tabs>
        <w:spacing w:line="360" w:lineRule="auto"/>
        <w:jc w:val="center"/>
        <w:rPr>
          <w:b/>
          <w:sz w:val="22"/>
          <w:szCs w:val="22"/>
        </w:rPr>
      </w:pPr>
    </w:p>
    <w:p w14:paraId="56765139" w14:textId="77777777" w:rsidR="00361381" w:rsidRPr="001F66E2" w:rsidRDefault="001A27B9" w:rsidP="00515E48">
      <w:pPr>
        <w:pStyle w:val="PargrafodaLista"/>
        <w:numPr>
          <w:ilvl w:val="0"/>
          <w:numId w:val="7"/>
        </w:numPr>
        <w:tabs>
          <w:tab w:val="left" w:pos="0"/>
        </w:tabs>
        <w:spacing w:line="360" w:lineRule="auto"/>
        <w:ind w:left="0" w:firstLine="0"/>
        <w:jc w:val="both"/>
        <w:rPr>
          <w:b/>
          <w:sz w:val="22"/>
          <w:szCs w:val="22"/>
        </w:rPr>
      </w:pPr>
      <w:r w:rsidRPr="001F66E2">
        <w:rPr>
          <w:b/>
          <w:sz w:val="22"/>
          <w:szCs w:val="22"/>
        </w:rPr>
        <w:t xml:space="preserve">DAS CONDIÇÕES GERAIS DA CONTRATAÇÃO </w:t>
      </w:r>
    </w:p>
    <w:p w14:paraId="1768B660" w14:textId="18F2815F" w:rsidR="005B7E20" w:rsidRPr="001F66E2" w:rsidRDefault="00741E7D" w:rsidP="00515E48">
      <w:pPr>
        <w:pStyle w:val="PargrafodaLista"/>
        <w:numPr>
          <w:ilvl w:val="1"/>
          <w:numId w:val="7"/>
        </w:numPr>
        <w:tabs>
          <w:tab w:val="left" w:pos="0"/>
          <w:tab w:val="left" w:pos="142"/>
        </w:tabs>
        <w:spacing w:line="360" w:lineRule="auto"/>
        <w:ind w:left="0" w:firstLine="0"/>
        <w:jc w:val="both"/>
        <w:rPr>
          <w:rFonts w:eastAsia="Calibri"/>
          <w:sz w:val="22"/>
          <w:szCs w:val="22"/>
        </w:rPr>
      </w:pPr>
      <w:r w:rsidRPr="001F66E2">
        <w:rPr>
          <w:rFonts w:eastAsia="Calibri"/>
          <w:bCs/>
          <w:sz w:val="22"/>
          <w:szCs w:val="22"/>
          <w:lang w:val="pt-BR"/>
        </w:rPr>
        <w:t xml:space="preserve">Registro de preço para a eventual </w:t>
      </w:r>
      <w:r w:rsidR="00126FFF" w:rsidRPr="001F66E2">
        <w:rPr>
          <w:rFonts w:eastAsia="Calibri"/>
          <w:bCs/>
          <w:sz w:val="22"/>
          <w:szCs w:val="22"/>
          <w:lang w:val="pt-BR"/>
        </w:rPr>
        <w:t xml:space="preserve">Contratação de empresa especializada para a realização de sondagem a percussão (SPT: Standard </w:t>
      </w:r>
      <w:proofErr w:type="spellStart"/>
      <w:r w:rsidR="00126FFF" w:rsidRPr="001F66E2">
        <w:rPr>
          <w:rFonts w:eastAsia="Calibri"/>
          <w:bCs/>
          <w:sz w:val="22"/>
          <w:szCs w:val="22"/>
          <w:lang w:val="pt-BR"/>
        </w:rPr>
        <w:t>Penetration</w:t>
      </w:r>
      <w:proofErr w:type="spellEnd"/>
      <w:r w:rsidR="00126FFF" w:rsidRPr="001F66E2">
        <w:rPr>
          <w:rFonts w:eastAsia="Calibri"/>
          <w:bCs/>
          <w:sz w:val="22"/>
          <w:szCs w:val="22"/>
          <w:lang w:val="pt-BR"/>
        </w:rPr>
        <w:t xml:space="preserve"> teste), com emissão de laudo e anotação de responsabilidade técnica. A execução se dará conforme NBR 6484 Solo - Sondagens de simples reconhecimento com SPT - Método de ensaio</w:t>
      </w:r>
      <w:r w:rsidR="00750867" w:rsidRPr="001F66E2">
        <w:rPr>
          <w:rFonts w:eastAsia="Calibri"/>
          <w:b/>
          <w:bCs/>
          <w:sz w:val="22"/>
          <w:szCs w:val="22"/>
          <w:lang w:val="pt-BR"/>
        </w:rPr>
        <w:t>,</w:t>
      </w:r>
      <w:r w:rsidR="00750867" w:rsidRPr="001F66E2">
        <w:rPr>
          <w:rFonts w:eastAsia="Calibri"/>
          <w:bCs/>
          <w:sz w:val="22"/>
          <w:szCs w:val="22"/>
          <w:lang w:val="pt-BR"/>
        </w:rPr>
        <w:t xml:space="preserve"> nos termos da tabela abaixo, conforme condições e exigências estabelecidas neste instrumento</w:t>
      </w:r>
      <w:r w:rsidR="001A27B9" w:rsidRPr="001F66E2">
        <w:rPr>
          <w:rFonts w:eastAsia="Calibri"/>
          <w:sz w:val="22"/>
          <w:szCs w:val="22"/>
        </w:rPr>
        <w:t>.</w:t>
      </w:r>
    </w:p>
    <w:tbl>
      <w:tblPr>
        <w:tblStyle w:val="Tabelacomgrade3"/>
        <w:tblW w:w="5000" w:type="pct"/>
        <w:tblLook w:val="04A0" w:firstRow="1" w:lastRow="0" w:firstColumn="1" w:lastColumn="0" w:noHBand="0" w:noVBand="1"/>
      </w:tblPr>
      <w:tblGrid>
        <w:gridCol w:w="620"/>
        <w:gridCol w:w="4734"/>
        <w:gridCol w:w="962"/>
        <w:gridCol w:w="1231"/>
        <w:gridCol w:w="986"/>
        <w:gridCol w:w="1096"/>
      </w:tblGrid>
      <w:tr w:rsidR="00126FFF" w:rsidRPr="001F66E2" w14:paraId="69509D47" w14:textId="0A53B93B" w:rsidTr="006B1E2A">
        <w:tc>
          <w:tcPr>
            <w:tcW w:w="322" w:type="pct"/>
            <w:vAlign w:val="center"/>
          </w:tcPr>
          <w:p w14:paraId="038C04FB" w14:textId="77777777" w:rsidR="00126FFF" w:rsidRPr="001F66E2" w:rsidRDefault="00126FFF" w:rsidP="00515E48">
            <w:pPr>
              <w:tabs>
                <w:tab w:val="left" w:pos="0"/>
              </w:tabs>
              <w:spacing w:line="360" w:lineRule="auto"/>
              <w:jc w:val="center"/>
              <w:rPr>
                <w:bCs/>
                <w:sz w:val="22"/>
                <w:szCs w:val="22"/>
              </w:rPr>
            </w:pPr>
            <w:bookmarkStart w:id="2" w:name="_Hlk190853843"/>
            <w:r w:rsidRPr="001F66E2">
              <w:rPr>
                <w:bCs/>
                <w:sz w:val="22"/>
                <w:szCs w:val="22"/>
              </w:rPr>
              <w:t>Item</w:t>
            </w:r>
          </w:p>
        </w:tc>
        <w:tc>
          <w:tcPr>
            <w:tcW w:w="2720" w:type="pct"/>
            <w:vAlign w:val="center"/>
          </w:tcPr>
          <w:p w14:paraId="2DA7B3CD" w14:textId="77777777" w:rsidR="00126FFF" w:rsidRPr="001F66E2" w:rsidRDefault="00126FFF" w:rsidP="00515E48">
            <w:pPr>
              <w:tabs>
                <w:tab w:val="left" w:pos="0"/>
              </w:tabs>
              <w:spacing w:line="360" w:lineRule="auto"/>
              <w:jc w:val="center"/>
              <w:rPr>
                <w:bCs/>
                <w:sz w:val="22"/>
                <w:szCs w:val="22"/>
              </w:rPr>
            </w:pPr>
            <w:r w:rsidRPr="001F66E2">
              <w:rPr>
                <w:bCs/>
                <w:sz w:val="22"/>
                <w:szCs w:val="22"/>
              </w:rPr>
              <w:t>Descrição</w:t>
            </w:r>
          </w:p>
        </w:tc>
        <w:tc>
          <w:tcPr>
            <w:tcW w:w="500" w:type="pct"/>
            <w:vAlign w:val="center"/>
          </w:tcPr>
          <w:p w14:paraId="15A9962B" w14:textId="77777777" w:rsidR="00126FFF" w:rsidRPr="001F66E2" w:rsidRDefault="00126FFF" w:rsidP="00515E48">
            <w:pPr>
              <w:tabs>
                <w:tab w:val="left" w:pos="0"/>
              </w:tabs>
              <w:spacing w:line="360" w:lineRule="auto"/>
              <w:jc w:val="center"/>
              <w:rPr>
                <w:bCs/>
                <w:sz w:val="22"/>
                <w:szCs w:val="22"/>
              </w:rPr>
            </w:pPr>
            <w:r w:rsidRPr="001F66E2">
              <w:rPr>
                <w:bCs/>
                <w:sz w:val="22"/>
                <w:szCs w:val="22"/>
              </w:rPr>
              <w:t>Unidade</w:t>
            </w:r>
          </w:p>
        </w:tc>
        <w:tc>
          <w:tcPr>
            <w:tcW w:w="639" w:type="pct"/>
            <w:vAlign w:val="center"/>
          </w:tcPr>
          <w:p w14:paraId="25F2A92B" w14:textId="77777777" w:rsidR="00126FFF" w:rsidRPr="001F66E2" w:rsidRDefault="00126FFF" w:rsidP="00515E48">
            <w:pPr>
              <w:tabs>
                <w:tab w:val="left" w:pos="0"/>
              </w:tabs>
              <w:spacing w:line="360" w:lineRule="auto"/>
              <w:jc w:val="center"/>
              <w:rPr>
                <w:bCs/>
                <w:sz w:val="22"/>
                <w:szCs w:val="22"/>
              </w:rPr>
            </w:pPr>
            <w:r w:rsidRPr="001F66E2">
              <w:rPr>
                <w:bCs/>
                <w:sz w:val="22"/>
                <w:szCs w:val="22"/>
              </w:rPr>
              <w:t>Quantidade</w:t>
            </w:r>
          </w:p>
        </w:tc>
        <w:tc>
          <w:tcPr>
            <w:tcW w:w="410" w:type="pct"/>
            <w:vAlign w:val="center"/>
          </w:tcPr>
          <w:p w14:paraId="48F5B6C5" w14:textId="456BDE75" w:rsidR="00126FFF" w:rsidRPr="001F66E2" w:rsidRDefault="00126FFF" w:rsidP="00515E48">
            <w:pPr>
              <w:tabs>
                <w:tab w:val="left" w:pos="0"/>
              </w:tabs>
              <w:spacing w:line="360" w:lineRule="auto"/>
              <w:jc w:val="center"/>
              <w:rPr>
                <w:bCs/>
                <w:sz w:val="22"/>
                <w:szCs w:val="22"/>
              </w:rPr>
            </w:pPr>
            <w:r w:rsidRPr="001F66E2">
              <w:rPr>
                <w:bCs/>
                <w:sz w:val="22"/>
                <w:szCs w:val="22"/>
              </w:rPr>
              <w:t>Valor Unitário</w:t>
            </w:r>
          </w:p>
        </w:tc>
        <w:tc>
          <w:tcPr>
            <w:tcW w:w="410" w:type="pct"/>
            <w:vAlign w:val="center"/>
          </w:tcPr>
          <w:p w14:paraId="15716F19" w14:textId="17404FD5" w:rsidR="00126FFF" w:rsidRPr="001F66E2" w:rsidRDefault="00126FFF" w:rsidP="00515E48">
            <w:pPr>
              <w:tabs>
                <w:tab w:val="left" w:pos="0"/>
              </w:tabs>
              <w:spacing w:line="360" w:lineRule="auto"/>
              <w:jc w:val="center"/>
              <w:rPr>
                <w:bCs/>
                <w:sz w:val="22"/>
                <w:szCs w:val="22"/>
              </w:rPr>
            </w:pPr>
            <w:r w:rsidRPr="001F66E2">
              <w:rPr>
                <w:bCs/>
                <w:sz w:val="22"/>
                <w:szCs w:val="22"/>
              </w:rPr>
              <w:t>Valor Total</w:t>
            </w:r>
          </w:p>
        </w:tc>
      </w:tr>
      <w:tr w:rsidR="00126FFF" w:rsidRPr="001F66E2" w14:paraId="1E971233" w14:textId="3BBFC928" w:rsidTr="00515E48">
        <w:tc>
          <w:tcPr>
            <w:tcW w:w="322" w:type="pct"/>
            <w:vAlign w:val="center"/>
          </w:tcPr>
          <w:p w14:paraId="54AE91A5" w14:textId="77777777" w:rsidR="00126FFF" w:rsidRPr="001F66E2" w:rsidRDefault="00126FFF" w:rsidP="00515E48">
            <w:pPr>
              <w:tabs>
                <w:tab w:val="left" w:pos="0"/>
              </w:tabs>
              <w:spacing w:line="360" w:lineRule="auto"/>
              <w:jc w:val="center"/>
              <w:rPr>
                <w:bCs/>
                <w:sz w:val="22"/>
                <w:szCs w:val="22"/>
              </w:rPr>
            </w:pPr>
            <w:r w:rsidRPr="001F66E2">
              <w:rPr>
                <w:bCs/>
                <w:sz w:val="22"/>
                <w:szCs w:val="22"/>
              </w:rPr>
              <w:t>01</w:t>
            </w:r>
          </w:p>
        </w:tc>
        <w:tc>
          <w:tcPr>
            <w:tcW w:w="2720" w:type="pct"/>
          </w:tcPr>
          <w:p w14:paraId="48165383" w14:textId="77777777" w:rsidR="00126FFF" w:rsidRPr="001F66E2" w:rsidRDefault="00126FFF" w:rsidP="00515E48">
            <w:pPr>
              <w:tabs>
                <w:tab w:val="left" w:pos="0"/>
              </w:tabs>
              <w:spacing w:line="360" w:lineRule="auto"/>
              <w:jc w:val="both"/>
              <w:rPr>
                <w:sz w:val="22"/>
                <w:szCs w:val="22"/>
              </w:rPr>
            </w:pPr>
            <w:r w:rsidRPr="001F66E2">
              <w:rPr>
                <w:sz w:val="22"/>
                <w:szCs w:val="22"/>
              </w:rPr>
              <w:t>Mobilização e desmobilização de equipamento de sondagem a percussão com ensaio de penetração padrão (</w:t>
            </w:r>
            <w:proofErr w:type="spellStart"/>
            <w:r w:rsidRPr="001F66E2">
              <w:rPr>
                <w:sz w:val="22"/>
                <w:szCs w:val="22"/>
              </w:rPr>
              <w:t>spt</w:t>
            </w:r>
            <w:proofErr w:type="spellEnd"/>
            <w:r w:rsidRPr="001F66E2">
              <w:rPr>
                <w:sz w:val="22"/>
                <w:szCs w:val="22"/>
              </w:rPr>
              <w:t xml:space="preserve">) - (custo fixo) </w:t>
            </w:r>
          </w:p>
        </w:tc>
        <w:tc>
          <w:tcPr>
            <w:tcW w:w="500" w:type="pct"/>
            <w:vAlign w:val="center"/>
          </w:tcPr>
          <w:p w14:paraId="1B8EAA00" w14:textId="77777777" w:rsidR="00126FFF" w:rsidRPr="001F66E2" w:rsidRDefault="00126FFF" w:rsidP="00515E48">
            <w:pPr>
              <w:tabs>
                <w:tab w:val="left" w:pos="0"/>
              </w:tabs>
              <w:spacing w:line="360" w:lineRule="auto"/>
              <w:jc w:val="center"/>
              <w:rPr>
                <w:bCs/>
                <w:sz w:val="22"/>
                <w:szCs w:val="22"/>
              </w:rPr>
            </w:pPr>
            <w:proofErr w:type="spellStart"/>
            <w:r w:rsidRPr="001F66E2">
              <w:rPr>
                <w:bCs/>
                <w:sz w:val="22"/>
                <w:szCs w:val="22"/>
              </w:rPr>
              <w:t>Und</w:t>
            </w:r>
            <w:proofErr w:type="spellEnd"/>
          </w:p>
        </w:tc>
        <w:tc>
          <w:tcPr>
            <w:tcW w:w="639" w:type="pct"/>
            <w:vAlign w:val="center"/>
          </w:tcPr>
          <w:p w14:paraId="4B1C7A92" w14:textId="77777777" w:rsidR="00126FFF" w:rsidRPr="001F66E2" w:rsidRDefault="00126FFF" w:rsidP="00515E48">
            <w:pPr>
              <w:tabs>
                <w:tab w:val="left" w:pos="0"/>
              </w:tabs>
              <w:spacing w:line="360" w:lineRule="auto"/>
              <w:jc w:val="center"/>
              <w:rPr>
                <w:bCs/>
                <w:sz w:val="22"/>
                <w:szCs w:val="22"/>
              </w:rPr>
            </w:pPr>
            <w:r w:rsidRPr="001F66E2">
              <w:rPr>
                <w:bCs/>
                <w:sz w:val="22"/>
                <w:szCs w:val="22"/>
              </w:rPr>
              <w:t>10</w:t>
            </w:r>
          </w:p>
        </w:tc>
        <w:tc>
          <w:tcPr>
            <w:tcW w:w="410" w:type="pct"/>
            <w:vAlign w:val="center"/>
          </w:tcPr>
          <w:p w14:paraId="4794CA6A" w14:textId="45208F68" w:rsidR="00126FFF" w:rsidRPr="001F66E2" w:rsidRDefault="00515E48" w:rsidP="00515E48">
            <w:pPr>
              <w:tabs>
                <w:tab w:val="left" w:pos="0"/>
              </w:tabs>
              <w:spacing w:line="360" w:lineRule="auto"/>
              <w:jc w:val="center"/>
              <w:rPr>
                <w:bCs/>
                <w:sz w:val="22"/>
                <w:szCs w:val="22"/>
              </w:rPr>
            </w:pPr>
            <w:r w:rsidRPr="001F66E2">
              <w:rPr>
                <w:bCs/>
                <w:sz w:val="22"/>
                <w:szCs w:val="22"/>
              </w:rPr>
              <w:t>1.097,10</w:t>
            </w:r>
          </w:p>
        </w:tc>
        <w:tc>
          <w:tcPr>
            <w:tcW w:w="410" w:type="pct"/>
            <w:vAlign w:val="center"/>
          </w:tcPr>
          <w:p w14:paraId="322617E7" w14:textId="7287B116" w:rsidR="00126FFF" w:rsidRPr="001F66E2" w:rsidRDefault="00515E48" w:rsidP="00515E48">
            <w:pPr>
              <w:tabs>
                <w:tab w:val="left" w:pos="0"/>
              </w:tabs>
              <w:spacing w:line="360" w:lineRule="auto"/>
              <w:jc w:val="center"/>
              <w:rPr>
                <w:bCs/>
                <w:sz w:val="22"/>
                <w:szCs w:val="22"/>
              </w:rPr>
            </w:pPr>
            <w:r w:rsidRPr="001F66E2">
              <w:rPr>
                <w:bCs/>
                <w:sz w:val="22"/>
                <w:szCs w:val="22"/>
              </w:rPr>
              <w:t>10.970,95</w:t>
            </w:r>
          </w:p>
        </w:tc>
      </w:tr>
      <w:tr w:rsidR="00126FFF" w:rsidRPr="001F66E2" w14:paraId="12F58B89" w14:textId="7A6FD91F" w:rsidTr="00515E48">
        <w:tc>
          <w:tcPr>
            <w:tcW w:w="322" w:type="pct"/>
            <w:vAlign w:val="center"/>
          </w:tcPr>
          <w:p w14:paraId="24A1FC3B" w14:textId="77777777" w:rsidR="00126FFF" w:rsidRPr="001F66E2" w:rsidRDefault="00126FFF" w:rsidP="00515E48">
            <w:pPr>
              <w:tabs>
                <w:tab w:val="left" w:pos="0"/>
              </w:tabs>
              <w:spacing w:line="360" w:lineRule="auto"/>
              <w:jc w:val="center"/>
              <w:rPr>
                <w:bCs/>
                <w:sz w:val="22"/>
                <w:szCs w:val="22"/>
              </w:rPr>
            </w:pPr>
            <w:r w:rsidRPr="001F66E2">
              <w:rPr>
                <w:bCs/>
                <w:sz w:val="22"/>
                <w:szCs w:val="22"/>
              </w:rPr>
              <w:t>02</w:t>
            </w:r>
          </w:p>
        </w:tc>
        <w:tc>
          <w:tcPr>
            <w:tcW w:w="2720" w:type="pct"/>
          </w:tcPr>
          <w:p w14:paraId="755624C5" w14:textId="77777777" w:rsidR="00126FFF" w:rsidRPr="001F66E2" w:rsidRDefault="00126FFF" w:rsidP="00515E48">
            <w:pPr>
              <w:tabs>
                <w:tab w:val="left" w:pos="0"/>
              </w:tabs>
              <w:spacing w:line="360" w:lineRule="auto"/>
              <w:jc w:val="both"/>
              <w:rPr>
                <w:sz w:val="22"/>
                <w:szCs w:val="22"/>
              </w:rPr>
            </w:pPr>
            <w:r w:rsidRPr="001F66E2">
              <w:rPr>
                <w:sz w:val="22"/>
                <w:szCs w:val="22"/>
              </w:rPr>
              <w:t>Sondagem a percussão com ensaio de penetração padrão (</w:t>
            </w:r>
            <w:proofErr w:type="spellStart"/>
            <w:r w:rsidRPr="001F66E2">
              <w:rPr>
                <w:sz w:val="22"/>
                <w:szCs w:val="22"/>
              </w:rPr>
              <w:t>spt</w:t>
            </w:r>
            <w:proofErr w:type="spellEnd"/>
            <w:r w:rsidRPr="001F66E2">
              <w:rPr>
                <w:sz w:val="22"/>
                <w:szCs w:val="22"/>
              </w:rPr>
              <w:t xml:space="preserve">), diâmetro 2.1/2", exclusive mobilização e desmobilização </w:t>
            </w:r>
          </w:p>
        </w:tc>
        <w:tc>
          <w:tcPr>
            <w:tcW w:w="500" w:type="pct"/>
            <w:vAlign w:val="center"/>
          </w:tcPr>
          <w:p w14:paraId="04CD8265" w14:textId="77777777" w:rsidR="00126FFF" w:rsidRPr="001F66E2" w:rsidRDefault="00126FFF" w:rsidP="00515E48">
            <w:pPr>
              <w:tabs>
                <w:tab w:val="left" w:pos="0"/>
              </w:tabs>
              <w:spacing w:line="360" w:lineRule="auto"/>
              <w:jc w:val="center"/>
              <w:rPr>
                <w:bCs/>
                <w:sz w:val="22"/>
                <w:szCs w:val="22"/>
              </w:rPr>
            </w:pPr>
            <w:r w:rsidRPr="001F66E2">
              <w:rPr>
                <w:bCs/>
                <w:sz w:val="22"/>
                <w:szCs w:val="22"/>
              </w:rPr>
              <w:t>M</w:t>
            </w:r>
          </w:p>
        </w:tc>
        <w:tc>
          <w:tcPr>
            <w:tcW w:w="639" w:type="pct"/>
            <w:vAlign w:val="center"/>
          </w:tcPr>
          <w:p w14:paraId="5B1014A9" w14:textId="77777777" w:rsidR="00126FFF" w:rsidRPr="001F66E2" w:rsidRDefault="00126FFF" w:rsidP="00515E48">
            <w:pPr>
              <w:tabs>
                <w:tab w:val="left" w:pos="0"/>
              </w:tabs>
              <w:spacing w:line="360" w:lineRule="auto"/>
              <w:jc w:val="center"/>
              <w:rPr>
                <w:bCs/>
                <w:sz w:val="22"/>
                <w:szCs w:val="22"/>
              </w:rPr>
            </w:pPr>
            <w:r w:rsidRPr="001F66E2">
              <w:rPr>
                <w:bCs/>
                <w:sz w:val="22"/>
                <w:szCs w:val="22"/>
              </w:rPr>
              <w:t>750</w:t>
            </w:r>
          </w:p>
        </w:tc>
        <w:tc>
          <w:tcPr>
            <w:tcW w:w="410" w:type="pct"/>
            <w:vAlign w:val="center"/>
          </w:tcPr>
          <w:p w14:paraId="2FE98328" w14:textId="1E68EA49" w:rsidR="00126FFF" w:rsidRPr="001F66E2" w:rsidRDefault="00515E48" w:rsidP="00515E48">
            <w:pPr>
              <w:tabs>
                <w:tab w:val="left" w:pos="0"/>
              </w:tabs>
              <w:spacing w:line="360" w:lineRule="auto"/>
              <w:jc w:val="center"/>
              <w:rPr>
                <w:bCs/>
                <w:sz w:val="22"/>
                <w:szCs w:val="22"/>
              </w:rPr>
            </w:pPr>
            <w:r w:rsidRPr="001F66E2">
              <w:rPr>
                <w:bCs/>
                <w:sz w:val="22"/>
                <w:szCs w:val="22"/>
              </w:rPr>
              <w:t>93,58</w:t>
            </w:r>
          </w:p>
        </w:tc>
        <w:tc>
          <w:tcPr>
            <w:tcW w:w="410" w:type="pct"/>
            <w:vAlign w:val="center"/>
          </w:tcPr>
          <w:p w14:paraId="2C5969FA" w14:textId="767AB0CE" w:rsidR="00126FFF" w:rsidRPr="001F66E2" w:rsidRDefault="00515E48" w:rsidP="00515E48">
            <w:pPr>
              <w:tabs>
                <w:tab w:val="left" w:pos="0"/>
              </w:tabs>
              <w:spacing w:line="360" w:lineRule="auto"/>
              <w:jc w:val="center"/>
              <w:rPr>
                <w:bCs/>
                <w:sz w:val="22"/>
                <w:szCs w:val="22"/>
              </w:rPr>
            </w:pPr>
            <w:r w:rsidRPr="001F66E2">
              <w:rPr>
                <w:bCs/>
                <w:sz w:val="22"/>
                <w:szCs w:val="22"/>
              </w:rPr>
              <w:t>70.181,81</w:t>
            </w:r>
          </w:p>
        </w:tc>
      </w:tr>
      <w:tr w:rsidR="00126FFF" w:rsidRPr="001F66E2" w14:paraId="20BB95B7" w14:textId="7D436A7E" w:rsidTr="00515E48">
        <w:tc>
          <w:tcPr>
            <w:tcW w:w="322" w:type="pct"/>
            <w:vAlign w:val="center"/>
          </w:tcPr>
          <w:p w14:paraId="70F6CF13" w14:textId="77777777" w:rsidR="00126FFF" w:rsidRPr="001F66E2" w:rsidRDefault="00126FFF" w:rsidP="00515E48">
            <w:pPr>
              <w:tabs>
                <w:tab w:val="left" w:pos="0"/>
              </w:tabs>
              <w:spacing w:line="360" w:lineRule="auto"/>
              <w:jc w:val="center"/>
              <w:rPr>
                <w:bCs/>
                <w:sz w:val="22"/>
                <w:szCs w:val="22"/>
              </w:rPr>
            </w:pPr>
            <w:r w:rsidRPr="001F66E2">
              <w:rPr>
                <w:bCs/>
                <w:sz w:val="22"/>
                <w:szCs w:val="22"/>
              </w:rPr>
              <w:t>03</w:t>
            </w:r>
          </w:p>
        </w:tc>
        <w:tc>
          <w:tcPr>
            <w:tcW w:w="2720" w:type="pct"/>
          </w:tcPr>
          <w:p w14:paraId="4772F09B" w14:textId="77777777" w:rsidR="00126FFF" w:rsidRPr="001F66E2" w:rsidRDefault="00126FFF" w:rsidP="00515E48">
            <w:pPr>
              <w:tabs>
                <w:tab w:val="left" w:pos="0"/>
              </w:tabs>
              <w:spacing w:line="360" w:lineRule="auto"/>
              <w:jc w:val="both"/>
              <w:rPr>
                <w:sz w:val="22"/>
                <w:szCs w:val="22"/>
              </w:rPr>
            </w:pPr>
            <w:r w:rsidRPr="001F66E2">
              <w:rPr>
                <w:sz w:val="22"/>
                <w:szCs w:val="22"/>
              </w:rPr>
              <w:t xml:space="preserve">Locação topográfica para até vinte (20) pontos referenciais, inclusive estaca (piquete) de marcação </w:t>
            </w:r>
          </w:p>
        </w:tc>
        <w:tc>
          <w:tcPr>
            <w:tcW w:w="500" w:type="pct"/>
            <w:vAlign w:val="center"/>
          </w:tcPr>
          <w:p w14:paraId="1F8548F2" w14:textId="77777777" w:rsidR="00126FFF" w:rsidRPr="001F66E2" w:rsidRDefault="00126FFF" w:rsidP="00515E48">
            <w:pPr>
              <w:tabs>
                <w:tab w:val="left" w:pos="0"/>
              </w:tabs>
              <w:spacing w:line="360" w:lineRule="auto"/>
              <w:jc w:val="center"/>
              <w:rPr>
                <w:bCs/>
                <w:sz w:val="22"/>
                <w:szCs w:val="22"/>
              </w:rPr>
            </w:pPr>
            <w:proofErr w:type="spellStart"/>
            <w:r w:rsidRPr="001F66E2">
              <w:rPr>
                <w:bCs/>
                <w:sz w:val="22"/>
                <w:szCs w:val="22"/>
              </w:rPr>
              <w:t>Und</w:t>
            </w:r>
            <w:proofErr w:type="spellEnd"/>
          </w:p>
        </w:tc>
        <w:tc>
          <w:tcPr>
            <w:tcW w:w="639" w:type="pct"/>
            <w:vAlign w:val="center"/>
          </w:tcPr>
          <w:p w14:paraId="574C2F33" w14:textId="77777777" w:rsidR="00126FFF" w:rsidRPr="001F66E2" w:rsidRDefault="00126FFF" w:rsidP="00515E48">
            <w:pPr>
              <w:tabs>
                <w:tab w:val="left" w:pos="0"/>
              </w:tabs>
              <w:spacing w:line="360" w:lineRule="auto"/>
              <w:jc w:val="center"/>
              <w:rPr>
                <w:bCs/>
                <w:sz w:val="22"/>
                <w:szCs w:val="22"/>
              </w:rPr>
            </w:pPr>
            <w:r w:rsidRPr="001F66E2">
              <w:rPr>
                <w:bCs/>
                <w:sz w:val="22"/>
                <w:szCs w:val="22"/>
              </w:rPr>
              <w:t>90</w:t>
            </w:r>
          </w:p>
        </w:tc>
        <w:tc>
          <w:tcPr>
            <w:tcW w:w="410" w:type="pct"/>
            <w:vAlign w:val="center"/>
          </w:tcPr>
          <w:p w14:paraId="1E595957" w14:textId="051D8EC6" w:rsidR="00126FFF" w:rsidRPr="001F66E2" w:rsidRDefault="00515E48" w:rsidP="00515E48">
            <w:pPr>
              <w:tabs>
                <w:tab w:val="left" w:pos="0"/>
              </w:tabs>
              <w:spacing w:line="360" w:lineRule="auto"/>
              <w:jc w:val="center"/>
              <w:rPr>
                <w:bCs/>
                <w:sz w:val="22"/>
                <w:szCs w:val="22"/>
              </w:rPr>
            </w:pPr>
            <w:r w:rsidRPr="001F66E2">
              <w:rPr>
                <w:bCs/>
                <w:sz w:val="22"/>
                <w:szCs w:val="22"/>
              </w:rPr>
              <w:t>97,28</w:t>
            </w:r>
          </w:p>
        </w:tc>
        <w:tc>
          <w:tcPr>
            <w:tcW w:w="410" w:type="pct"/>
            <w:vAlign w:val="center"/>
          </w:tcPr>
          <w:p w14:paraId="64C511EE" w14:textId="0B0B06C4" w:rsidR="00126FFF" w:rsidRPr="001F66E2" w:rsidRDefault="00515E48" w:rsidP="00515E48">
            <w:pPr>
              <w:tabs>
                <w:tab w:val="left" w:pos="0"/>
              </w:tabs>
              <w:spacing w:line="360" w:lineRule="auto"/>
              <w:jc w:val="center"/>
              <w:rPr>
                <w:bCs/>
                <w:sz w:val="22"/>
                <w:szCs w:val="22"/>
              </w:rPr>
            </w:pPr>
            <w:r w:rsidRPr="001F66E2">
              <w:rPr>
                <w:bCs/>
                <w:sz w:val="22"/>
                <w:szCs w:val="22"/>
              </w:rPr>
              <w:t>8.755,21</w:t>
            </w:r>
          </w:p>
        </w:tc>
      </w:tr>
      <w:tr w:rsidR="00126FFF" w:rsidRPr="001F66E2" w14:paraId="7CD1B9AC" w14:textId="774DC18E" w:rsidTr="00515E48">
        <w:tc>
          <w:tcPr>
            <w:tcW w:w="322" w:type="pct"/>
            <w:vAlign w:val="center"/>
          </w:tcPr>
          <w:p w14:paraId="576B4D51" w14:textId="77777777" w:rsidR="00126FFF" w:rsidRPr="001F66E2" w:rsidRDefault="00126FFF" w:rsidP="00515E48">
            <w:pPr>
              <w:tabs>
                <w:tab w:val="left" w:pos="0"/>
              </w:tabs>
              <w:spacing w:line="360" w:lineRule="auto"/>
              <w:jc w:val="center"/>
              <w:rPr>
                <w:bCs/>
                <w:sz w:val="22"/>
                <w:szCs w:val="22"/>
              </w:rPr>
            </w:pPr>
            <w:r w:rsidRPr="001F66E2">
              <w:rPr>
                <w:bCs/>
                <w:sz w:val="22"/>
                <w:szCs w:val="22"/>
              </w:rPr>
              <w:t>04</w:t>
            </w:r>
          </w:p>
        </w:tc>
        <w:tc>
          <w:tcPr>
            <w:tcW w:w="2720" w:type="pct"/>
          </w:tcPr>
          <w:p w14:paraId="4A821356" w14:textId="77777777" w:rsidR="00126FFF" w:rsidRPr="001F66E2" w:rsidRDefault="00126FFF" w:rsidP="00515E48">
            <w:pPr>
              <w:tabs>
                <w:tab w:val="left" w:pos="0"/>
              </w:tabs>
              <w:spacing w:line="360" w:lineRule="auto"/>
              <w:jc w:val="both"/>
              <w:rPr>
                <w:sz w:val="22"/>
                <w:szCs w:val="22"/>
              </w:rPr>
            </w:pPr>
            <w:r w:rsidRPr="001F66E2">
              <w:rPr>
                <w:sz w:val="22"/>
                <w:szCs w:val="22"/>
              </w:rPr>
              <w:t xml:space="preserve">Limpeza de terreno, inclusive capina, </w:t>
            </w:r>
            <w:proofErr w:type="spellStart"/>
            <w:r w:rsidRPr="001F66E2">
              <w:rPr>
                <w:sz w:val="22"/>
                <w:szCs w:val="22"/>
              </w:rPr>
              <w:t>rastelamento</w:t>
            </w:r>
            <w:proofErr w:type="spellEnd"/>
            <w:r w:rsidRPr="001F66E2">
              <w:rPr>
                <w:sz w:val="22"/>
                <w:szCs w:val="22"/>
              </w:rPr>
              <w:t xml:space="preserve"> com afastamento até vinte (20) metros e queima controlada </w:t>
            </w:r>
          </w:p>
        </w:tc>
        <w:tc>
          <w:tcPr>
            <w:tcW w:w="500" w:type="pct"/>
            <w:vAlign w:val="center"/>
          </w:tcPr>
          <w:p w14:paraId="7B2CAE31" w14:textId="77777777" w:rsidR="00126FFF" w:rsidRPr="001F66E2" w:rsidRDefault="00126FFF" w:rsidP="00515E48">
            <w:pPr>
              <w:tabs>
                <w:tab w:val="left" w:pos="0"/>
              </w:tabs>
              <w:spacing w:line="360" w:lineRule="auto"/>
              <w:jc w:val="center"/>
              <w:rPr>
                <w:bCs/>
                <w:sz w:val="22"/>
                <w:szCs w:val="22"/>
              </w:rPr>
            </w:pPr>
            <w:r w:rsidRPr="001F66E2">
              <w:rPr>
                <w:bCs/>
                <w:sz w:val="22"/>
                <w:szCs w:val="22"/>
              </w:rPr>
              <w:t>M²</w:t>
            </w:r>
          </w:p>
        </w:tc>
        <w:tc>
          <w:tcPr>
            <w:tcW w:w="639" w:type="pct"/>
            <w:vAlign w:val="center"/>
          </w:tcPr>
          <w:p w14:paraId="7C2399D7" w14:textId="77777777" w:rsidR="00126FFF" w:rsidRPr="001F66E2" w:rsidRDefault="00126FFF" w:rsidP="00515E48">
            <w:pPr>
              <w:tabs>
                <w:tab w:val="left" w:pos="0"/>
              </w:tabs>
              <w:spacing w:line="360" w:lineRule="auto"/>
              <w:jc w:val="center"/>
              <w:rPr>
                <w:bCs/>
                <w:sz w:val="22"/>
                <w:szCs w:val="22"/>
              </w:rPr>
            </w:pPr>
            <w:r w:rsidRPr="001F66E2">
              <w:rPr>
                <w:bCs/>
                <w:sz w:val="22"/>
                <w:szCs w:val="22"/>
              </w:rPr>
              <w:t>2.700</w:t>
            </w:r>
          </w:p>
        </w:tc>
        <w:tc>
          <w:tcPr>
            <w:tcW w:w="410" w:type="pct"/>
            <w:vAlign w:val="center"/>
          </w:tcPr>
          <w:p w14:paraId="7D076C94" w14:textId="00D54AA3" w:rsidR="00126FFF" w:rsidRPr="001F66E2" w:rsidRDefault="00515E48" w:rsidP="00515E48">
            <w:pPr>
              <w:tabs>
                <w:tab w:val="left" w:pos="0"/>
              </w:tabs>
              <w:spacing w:line="360" w:lineRule="auto"/>
              <w:jc w:val="center"/>
              <w:rPr>
                <w:bCs/>
                <w:sz w:val="22"/>
                <w:szCs w:val="22"/>
              </w:rPr>
            </w:pPr>
            <w:r w:rsidRPr="001F66E2">
              <w:rPr>
                <w:bCs/>
                <w:sz w:val="22"/>
                <w:szCs w:val="22"/>
              </w:rPr>
              <w:t>2,68</w:t>
            </w:r>
          </w:p>
        </w:tc>
        <w:tc>
          <w:tcPr>
            <w:tcW w:w="410" w:type="pct"/>
            <w:vAlign w:val="center"/>
          </w:tcPr>
          <w:p w14:paraId="20DD5DAF" w14:textId="7CE6E916" w:rsidR="00126FFF" w:rsidRPr="001F66E2" w:rsidRDefault="00515E48" w:rsidP="00515E48">
            <w:pPr>
              <w:tabs>
                <w:tab w:val="left" w:pos="0"/>
              </w:tabs>
              <w:spacing w:line="360" w:lineRule="auto"/>
              <w:jc w:val="center"/>
              <w:rPr>
                <w:bCs/>
                <w:sz w:val="22"/>
                <w:szCs w:val="22"/>
              </w:rPr>
            </w:pPr>
            <w:r w:rsidRPr="001F66E2">
              <w:rPr>
                <w:bCs/>
                <w:sz w:val="22"/>
                <w:szCs w:val="22"/>
              </w:rPr>
              <w:t>7.248,57</w:t>
            </w:r>
          </w:p>
        </w:tc>
      </w:tr>
      <w:bookmarkEnd w:id="2"/>
    </w:tbl>
    <w:p w14:paraId="4D183A79" w14:textId="77777777" w:rsidR="00094FFC" w:rsidRPr="001F66E2" w:rsidRDefault="00094FFC" w:rsidP="00515E48">
      <w:pPr>
        <w:pStyle w:val="PargrafodaLista"/>
        <w:tabs>
          <w:tab w:val="left" w:pos="0"/>
          <w:tab w:val="left" w:pos="142"/>
        </w:tabs>
        <w:spacing w:line="360" w:lineRule="auto"/>
        <w:ind w:left="0"/>
        <w:jc w:val="both"/>
        <w:rPr>
          <w:rFonts w:eastAsia="Calibri"/>
          <w:sz w:val="22"/>
          <w:szCs w:val="22"/>
        </w:rPr>
      </w:pPr>
    </w:p>
    <w:p w14:paraId="2ACADDD4" w14:textId="16FF4062" w:rsidR="004C13FA" w:rsidRPr="001F66E2" w:rsidRDefault="00750867" w:rsidP="00515E48">
      <w:pPr>
        <w:pStyle w:val="PargrafodaLista"/>
        <w:numPr>
          <w:ilvl w:val="1"/>
          <w:numId w:val="7"/>
        </w:numPr>
        <w:tabs>
          <w:tab w:val="left" w:pos="0"/>
          <w:tab w:val="left" w:pos="142"/>
        </w:tabs>
        <w:spacing w:line="360" w:lineRule="auto"/>
        <w:ind w:left="0" w:firstLine="0"/>
        <w:jc w:val="both"/>
        <w:rPr>
          <w:rFonts w:eastAsia="Calibri"/>
          <w:sz w:val="22"/>
          <w:szCs w:val="22"/>
        </w:rPr>
      </w:pPr>
      <w:r w:rsidRPr="001F66E2">
        <w:rPr>
          <w:rFonts w:eastAsia="Calibri"/>
          <w:sz w:val="22"/>
          <w:szCs w:val="22"/>
          <w:lang w:val="pt-BR"/>
        </w:rPr>
        <w:t>O(s) serviço(s) objeto desta contratação são caracterizados como comum(</w:t>
      </w:r>
      <w:proofErr w:type="spellStart"/>
      <w:r w:rsidRPr="001F66E2">
        <w:rPr>
          <w:rFonts w:eastAsia="Calibri"/>
          <w:sz w:val="22"/>
          <w:szCs w:val="22"/>
          <w:lang w:val="pt-BR"/>
        </w:rPr>
        <w:t>ns</w:t>
      </w:r>
      <w:proofErr w:type="spellEnd"/>
      <w:r w:rsidRPr="001F66E2">
        <w:rPr>
          <w:rFonts w:eastAsia="Calibri"/>
          <w:sz w:val="22"/>
          <w:szCs w:val="22"/>
          <w:lang w:val="pt-BR"/>
        </w:rPr>
        <w:t>), conforme justificativa constante do Estudo Técnico Preliminar</w:t>
      </w:r>
      <w:r w:rsidR="004C13FA" w:rsidRPr="001F66E2">
        <w:rPr>
          <w:rFonts w:eastAsia="Calibri"/>
          <w:sz w:val="22"/>
          <w:szCs w:val="22"/>
        </w:rPr>
        <w:t>.</w:t>
      </w:r>
    </w:p>
    <w:p w14:paraId="223112D0" w14:textId="22B69B4B" w:rsidR="005B7E20" w:rsidRPr="001F66E2" w:rsidRDefault="001A27B9" w:rsidP="00515E48">
      <w:pPr>
        <w:pStyle w:val="PargrafodaLista"/>
        <w:numPr>
          <w:ilvl w:val="1"/>
          <w:numId w:val="7"/>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prazo de vigência da contratação é de 12 (doze) meses contados da data de assinatura, podendo ser prorrogado, na forma dos artigos </w:t>
      </w:r>
      <w:r w:rsidR="002B52F7" w:rsidRPr="001F66E2">
        <w:rPr>
          <w:rFonts w:eastAsia="Calibri"/>
          <w:sz w:val="22"/>
          <w:szCs w:val="22"/>
          <w:lang w:val="pt-BR"/>
        </w:rPr>
        <w:t>106 e 107 da Lei n° 14.133, de 2021</w:t>
      </w:r>
      <w:r w:rsidRPr="001F66E2">
        <w:rPr>
          <w:rFonts w:eastAsia="Calibri"/>
          <w:sz w:val="22"/>
          <w:szCs w:val="22"/>
        </w:rPr>
        <w:t>.</w:t>
      </w:r>
    </w:p>
    <w:p w14:paraId="2895CEA7" w14:textId="5E36D446" w:rsidR="00750867" w:rsidRPr="001F66E2" w:rsidRDefault="00750867" w:rsidP="00515E48">
      <w:pPr>
        <w:pStyle w:val="PargrafodaLista"/>
        <w:numPr>
          <w:ilvl w:val="1"/>
          <w:numId w:val="7"/>
        </w:numPr>
        <w:tabs>
          <w:tab w:val="left" w:pos="0"/>
        </w:tabs>
        <w:spacing w:line="360" w:lineRule="auto"/>
        <w:ind w:left="0" w:firstLine="0"/>
        <w:jc w:val="both"/>
        <w:rPr>
          <w:rFonts w:eastAsia="Calibri"/>
          <w:sz w:val="22"/>
          <w:szCs w:val="22"/>
        </w:rPr>
      </w:pPr>
      <w:r w:rsidRPr="001F66E2">
        <w:rPr>
          <w:rFonts w:eastAsia="Calibri"/>
          <w:sz w:val="22"/>
          <w:szCs w:val="22"/>
        </w:rPr>
        <w:t>O contrato oferece maior detalhamento das regras que serão aplicadas em relação à vigência da contratação.</w:t>
      </w:r>
    </w:p>
    <w:p w14:paraId="4991024B" w14:textId="77777777" w:rsidR="005B7E20" w:rsidRPr="001F66E2" w:rsidRDefault="001A27B9" w:rsidP="00515E48">
      <w:pPr>
        <w:pStyle w:val="PargrafodaLista"/>
        <w:numPr>
          <w:ilvl w:val="0"/>
          <w:numId w:val="7"/>
        </w:numPr>
        <w:tabs>
          <w:tab w:val="left" w:pos="0"/>
        </w:tabs>
        <w:spacing w:line="360" w:lineRule="auto"/>
        <w:ind w:left="0" w:firstLine="0"/>
        <w:jc w:val="both"/>
        <w:rPr>
          <w:rFonts w:eastAsia="Calibri"/>
          <w:b/>
          <w:sz w:val="22"/>
          <w:szCs w:val="22"/>
        </w:rPr>
      </w:pPr>
      <w:r w:rsidRPr="001F66E2">
        <w:rPr>
          <w:b/>
          <w:sz w:val="22"/>
          <w:szCs w:val="22"/>
        </w:rPr>
        <w:t xml:space="preserve">FUNDAMENTAÇÃO E DESCRIÇÃO DA NECESSIDADE DA CONTRATAÇÃO </w:t>
      </w:r>
    </w:p>
    <w:p w14:paraId="7A1791F3" w14:textId="0EF3F0E2" w:rsidR="001D1A3E" w:rsidRPr="001F66E2" w:rsidRDefault="005C0E4F" w:rsidP="00515E48">
      <w:pPr>
        <w:pStyle w:val="PargrafodaLista"/>
        <w:numPr>
          <w:ilvl w:val="1"/>
          <w:numId w:val="7"/>
        </w:numPr>
        <w:tabs>
          <w:tab w:val="left" w:pos="0"/>
          <w:tab w:val="left" w:pos="142"/>
        </w:tabs>
        <w:spacing w:line="360" w:lineRule="auto"/>
        <w:ind w:left="0" w:firstLine="0"/>
        <w:jc w:val="both"/>
        <w:rPr>
          <w:rFonts w:eastAsia="Calibri"/>
          <w:b/>
          <w:sz w:val="22"/>
          <w:szCs w:val="22"/>
        </w:rPr>
      </w:pPr>
      <w:r w:rsidRPr="001F66E2">
        <w:rPr>
          <w:rFonts w:eastAsia="Calibri"/>
          <w:sz w:val="22"/>
          <w:szCs w:val="22"/>
          <w:lang w:val="pt-BR"/>
        </w:rPr>
        <w:t>O objeto da contratação não está previsto no Plano Anual de Contratações no Plano de Contratações Anual 202</w:t>
      </w:r>
      <w:r w:rsidR="00094FFC" w:rsidRPr="001F66E2">
        <w:rPr>
          <w:rFonts w:eastAsia="Calibri"/>
          <w:sz w:val="22"/>
          <w:szCs w:val="22"/>
          <w:lang w:val="pt-BR"/>
        </w:rPr>
        <w:t>5</w:t>
      </w:r>
      <w:r w:rsidRPr="001F66E2">
        <w:rPr>
          <w:rFonts w:eastAsia="Calibri"/>
          <w:sz w:val="22"/>
          <w:szCs w:val="22"/>
          <w:lang w:val="pt-BR"/>
        </w:rPr>
        <w:t>, conforme consta das informações básicas deste termo de referência</w:t>
      </w:r>
      <w:r w:rsidR="00A9370B" w:rsidRPr="001F66E2">
        <w:rPr>
          <w:rFonts w:eastAsia="Calibri"/>
          <w:sz w:val="22"/>
          <w:szCs w:val="22"/>
        </w:rPr>
        <w:t>.</w:t>
      </w:r>
    </w:p>
    <w:p w14:paraId="4811446F" w14:textId="77777777" w:rsidR="001D1A3E" w:rsidRPr="001F66E2" w:rsidRDefault="001A27B9" w:rsidP="00515E48">
      <w:pPr>
        <w:pStyle w:val="PargrafodaLista"/>
        <w:numPr>
          <w:ilvl w:val="0"/>
          <w:numId w:val="7"/>
        </w:numPr>
        <w:tabs>
          <w:tab w:val="left" w:pos="0"/>
        </w:tabs>
        <w:spacing w:line="360" w:lineRule="auto"/>
        <w:ind w:left="0" w:firstLine="0"/>
        <w:jc w:val="both"/>
        <w:rPr>
          <w:rFonts w:eastAsia="Calibri"/>
          <w:b/>
          <w:sz w:val="22"/>
          <w:szCs w:val="22"/>
        </w:rPr>
      </w:pPr>
      <w:r w:rsidRPr="001F66E2">
        <w:rPr>
          <w:b/>
          <w:sz w:val="22"/>
          <w:szCs w:val="22"/>
        </w:rPr>
        <w:t xml:space="preserve">DESCRIÇÃO DA SOLUÇÃO COMO UM TODO CONSIDERADO O CICLO DE VIDA </w:t>
      </w:r>
      <w:r w:rsidR="00FD224C" w:rsidRPr="001F66E2">
        <w:rPr>
          <w:b/>
          <w:sz w:val="22"/>
          <w:szCs w:val="22"/>
        </w:rPr>
        <w:t>DO OBJETO</w:t>
      </w:r>
      <w:r w:rsidRPr="001F66E2">
        <w:rPr>
          <w:b/>
          <w:sz w:val="22"/>
          <w:szCs w:val="22"/>
        </w:rPr>
        <w:t xml:space="preserve"> </w:t>
      </w:r>
    </w:p>
    <w:p w14:paraId="7EB5CC5A" w14:textId="097C3859" w:rsidR="00EC20FC" w:rsidRPr="001F66E2" w:rsidRDefault="009821C8" w:rsidP="00515E48">
      <w:pPr>
        <w:pStyle w:val="PargrafodaLista"/>
        <w:numPr>
          <w:ilvl w:val="1"/>
          <w:numId w:val="7"/>
        </w:numPr>
        <w:tabs>
          <w:tab w:val="left" w:pos="0"/>
          <w:tab w:val="left" w:pos="142"/>
        </w:tabs>
        <w:spacing w:line="360" w:lineRule="auto"/>
        <w:ind w:left="0" w:firstLine="0"/>
        <w:jc w:val="both"/>
        <w:rPr>
          <w:rFonts w:eastAsia="Calibri"/>
          <w:b/>
          <w:sz w:val="22"/>
          <w:szCs w:val="22"/>
        </w:rPr>
      </w:pPr>
      <w:r w:rsidRPr="001F66E2">
        <w:rPr>
          <w:rFonts w:eastAsia="Calibri"/>
          <w:sz w:val="22"/>
          <w:szCs w:val="22"/>
          <w:lang w:val="pt-BR"/>
        </w:rPr>
        <w:t>A descrição da solução como um todo encontra-se pormenorizada em tópico específico dos Estudos Técnicos Preliminares, apêndice deste Termo de Referência.</w:t>
      </w:r>
      <w:r w:rsidR="00C40731" w:rsidRPr="001F66E2">
        <w:rPr>
          <w:sz w:val="22"/>
          <w:szCs w:val="22"/>
        </w:rPr>
        <w:t xml:space="preserve"> </w:t>
      </w:r>
    </w:p>
    <w:p w14:paraId="47657377" w14:textId="3A0864E5" w:rsidR="00047017" w:rsidRPr="001F66E2" w:rsidRDefault="001A27B9" w:rsidP="00515E48">
      <w:pPr>
        <w:pStyle w:val="PargrafodaLista"/>
        <w:numPr>
          <w:ilvl w:val="0"/>
          <w:numId w:val="7"/>
        </w:numPr>
        <w:tabs>
          <w:tab w:val="left" w:pos="0"/>
        </w:tabs>
        <w:spacing w:line="360" w:lineRule="auto"/>
        <w:ind w:left="0" w:firstLine="0"/>
        <w:jc w:val="both"/>
        <w:rPr>
          <w:b/>
          <w:sz w:val="22"/>
          <w:szCs w:val="22"/>
        </w:rPr>
      </w:pPr>
      <w:r w:rsidRPr="001F66E2">
        <w:rPr>
          <w:b/>
          <w:sz w:val="22"/>
          <w:szCs w:val="22"/>
        </w:rPr>
        <w:lastRenderedPageBreak/>
        <w:t xml:space="preserve">REQUISITOS DA CONTRATAÇÃO </w:t>
      </w:r>
    </w:p>
    <w:p w14:paraId="1EF3903E" w14:textId="77777777" w:rsidR="00515E48" w:rsidRPr="001F66E2" w:rsidRDefault="00B95207" w:rsidP="00515E48">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lang w:val="pt-BR"/>
        </w:rPr>
        <w:t xml:space="preserve"> Os serviços executados deverão obedecer rigorosamente às boas técnicas adotadas usualmente na engenharia, em estrita consonância com os critérios de aceitação e rejeição prescritos nas Normas Técnicas em vigor, em especial a NBR 6484. A aplicação dos materiais/equipamentos será rigorosamente supervisionada pela fiscalização, não sendo aceitos aquelas cuja qualidade seja inferior ao especificada</w:t>
      </w:r>
      <w:r w:rsidR="00515E48" w:rsidRPr="001F66E2">
        <w:rPr>
          <w:sz w:val="22"/>
          <w:szCs w:val="22"/>
          <w:lang w:val="pt-BR"/>
        </w:rPr>
        <w:t>.</w:t>
      </w:r>
    </w:p>
    <w:p w14:paraId="469777B3" w14:textId="1E683630" w:rsidR="003C0557" w:rsidRPr="001F66E2" w:rsidRDefault="003C0557" w:rsidP="00515E48">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rPr>
        <w:t>Deverá apresentar laudo técnico contendo as seguintes informações técnicas:</w:t>
      </w:r>
    </w:p>
    <w:p w14:paraId="5AE535E6" w14:textId="77777777"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Planta do local da posição das sondagens;</w:t>
      </w:r>
    </w:p>
    <w:p w14:paraId="7F9257A8" w14:textId="77777777"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Perfil individual de cada sondagem e/ou seções do subsolo, indicando a resistência do solo a cada metro perfurado;</w:t>
      </w:r>
    </w:p>
    <w:p w14:paraId="4FF1F71E" w14:textId="77777777"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Tipo de espessura do material e as posições dos níveis d'água, quando encontrados durante a perfuração;</w:t>
      </w:r>
    </w:p>
    <w:p w14:paraId="11E2C22A" w14:textId="77777777"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Endereço do local da Sondagem do Solo;</w:t>
      </w:r>
    </w:p>
    <w:p w14:paraId="0AD9DFBA" w14:textId="77777777"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Data e hora de início e fim dos testes;</w:t>
      </w:r>
    </w:p>
    <w:p w14:paraId="4DAC8D68" w14:textId="6368A089"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Responsável Técnico;</w:t>
      </w:r>
    </w:p>
    <w:p w14:paraId="6A089526" w14:textId="34353880"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Metodologia do trabalho;</w:t>
      </w:r>
    </w:p>
    <w:p w14:paraId="664EC5D1" w14:textId="78C55698"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Indicação das camadas de Solo com profundidades;</w:t>
      </w:r>
    </w:p>
    <w:p w14:paraId="7707DC28" w14:textId="45980C17"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Número de Golpes;</w:t>
      </w:r>
    </w:p>
    <w:p w14:paraId="0395E6B1" w14:textId="7514A665"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Gráfico de resistência à penetração;</w:t>
      </w:r>
    </w:p>
    <w:p w14:paraId="28BFC707" w14:textId="34405AF1"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Perfil geológico/geotécnico de cada camada;</w:t>
      </w:r>
    </w:p>
    <w:p w14:paraId="60433042" w14:textId="23ED98E8"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Classificação do material por camada;</w:t>
      </w:r>
    </w:p>
    <w:p w14:paraId="0C9F3037" w14:textId="6D0FCF73"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Descrição geral dos resultados de cada furo;</w:t>
      </w:r>
    </w:p>
    <w:p w14:paraId="52097875" w14:textId="12966072"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Nível de água;</w:t>
      </w:r>
    </w:p>
    <w:p w14:paraId="505F0F79" w14:textId="2DFEBE05"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Croqui de locação dos furos no terreno;</w:t>
      </w:r>
    </w:p>
    <w:p w14:paraId="69E16F2B" w14:textId="20CCA008"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Outras informações colhidas durante a execução da sondagem, se julgadas de interesse;</w:t>
      </w:r>
    </w:p>
    <w:p w14:paraId="3FE389ED" w14:textId="5B36E06C" w:rsidR="003C0557" w:rsidRPr="001F66E2" w:rsidRDefault="003C0557" w:rsidP="00515E48">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Manifestação conclusiva sobre cada camada de solo.</w:t>
      </w:r>
    </w:p>
    <w:p w14:paraId="634C7ECD" w14:textId="54AEF4D9" w:rsidR="00C2163A" w:rsidRPr="001F66E2" w:rsidRDefault="00C2163A" w:rsidP="00515E48">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rPr>
        <w:t>Os pontos serão fornecidos pelo Setor de Engenharia da Secretaria de Obras, observando também o recomendado pela equipe de levantamento topográfico, para estudos de obra civil.</w:t>
      </w:r>
    </w:p>
    <w:p w14:paraId="06987E34" w14:textId="43F56360" w:rsidR="004B5B5D" w:rsidRPr="001F66E2" w:rsidRDefault="004B5B5D" w:rsidP="001E7C5D">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rPr>
        <w:t>Os custos de fornecimento de água e energia elétrica necessários à execução dos serviços de sondagem correrão por conta da empresa contratada;</w:t>
      </w:r>
    </w:p>
    <w:p w14:paraId="37F235AA" w14:textId="2FE45B73" w:rsidR="00A53CCD" w:rsidRPr="001F66E2" w:rsidRDefault="00A53CCD" w:rsidP="001E7C5D">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lang w:val="pt-BR"/>
        </w:rPr>
        <w:t>Todo o material e equipamento necessários para execução dos trabalhos serão de fornecimento e encargo da contratada.</w:t>
      </w:r>
    </w:p>
    <w:p w14:paraId="0BAF53E7" w14:textId="77777777" w:rsidR="00146D6F" w:rsidRPr="001F66E2" w:rsidRDefault="004B5B5D" w:rsidP="001E7C5D">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rPr>
        <w:t xml:space="preserve">Deverá ser efetuado rigoroso controle dos serviços, materiais e mão de obra. </w:t>
      </w:r>
    </w:p>
    <w:p w14:paraId="56F40CA3" w14:textId="6F380189" w:rsidR="004B5B5D" w:rsidRPr="001F66E2" w:rsidRDefault="004B5B5D" w:rsidP="001E7C5D">
      <w:pPr>
        <w:pStyle w:val="PargrafodaLista"/>
        <w:numPr>
          <w:ilvl w:val="2"/>
          <w:numId w:val="7"/>
        </w:numPr>
        <w:tabs>
          <w:tab w:val="left" w:pos="0"/>
          <w:tab w:val="left" w:pos="142"/>
        </w:tabs>
        <w:spacing w:line="360" w:lineRule="auto"/>
        <w:ind w:left="0" w:firstLine="0"/>
        <w:jc w:val="both"/>
        <w:rPr>
          <w:sz w:val="22"/>
          <w:szCs w:val="22"/>
        </w:rPr>
      </w:pPr>
      <w:r w:rsidRPr="001F66E2">
        <w:rPr>
          <w:sz w:val="22"/>
          <w:szCs w:val="22"/>
        </w:rPr>
        <w:t>Em caso de dúvidas ou interpretações não esclarecidas, consultar o engenheiro responsável pela fiscalização ou o projetista de cada área.</w:t>
      </w:r>
    </w:p>
    <w:p w14:paraId="716C1318" w14:textId="77777777" w:rsidR="001550A4" w:rsidRPr="001F66E2" w:rsidRDefault="004B5B5D" w:rsidP="001E7C5D">
      <w:pPr>
        <w:pStyle w:val="PargrafodaLista"/>
        <w:numPr>
          <w:ilvl w:val="1"/>
          <w:numId w:val="7"/>
        </w:numPr>
        <w:tabs>
          <w:tab w:val="left" w:pos="0"/>
          <w:tab w:val="left" w:pos="142"/>
        </w:tabs>
        <w:spacing w:line="360" w:lineRule="auto"/>
        <w:ind w:left="0" w:firstLine="0"/>
        <w:jc w:val="both"/>
        <w:rPr>
          <w:sz w:val="22"/>
          <w:szCs w:val="22"/>
          <w:lang w:val="pt-BR"/>
        </w:rPr>
      </w:pPr>
      <w:r w:rsidRPr="001F66E2">
        <w:rPr>
          <w:sz w:val="22"/>
          <w:szCs w:val="22"/>
          <w:lang w:val="pt-BR"/>
        </w:rPr>
        <w:t xml:space="preserve">A Contratada será responsável pela observância das leis, decretos, regulamentos, portarias e normas federais, estaduais e municipais direta e indiretamente aplicáveis ao objeto do contrato. </w:t>
      </w:r>
    </w:p>
    <w:p w14:paraId="2196731D" w14:textId="00F169B0" w:rsidR="00B95207" w:rsidRPr="001F66E2" w:rsidRDefault="004B5B5D" w:rsidP="001E7C5D">
      <w:pPr>
        <w:pStyle w:val="PargrafodaLista"/>
        <w:numPr>
          <w:ilvl w:val="1"/>
          <w:numId w:val="7"/>
        </w:numPr>
        <w:tabs>
          <w:tab w:val="left" w:pos="0"/>
          <w:tab w:val="left" w:pos="142"/>
        </w:tabs>
        <w:spacing w:line="360" w:lineRule="auto"/>
        <w:ind w:left="0" w:firstLine="0"/>
        <w:jc w:val="both"/>
        <w:rPr>
          <w:sz w:val="22"/>
          <w:szCs w:val="22"/>
        </w:rPr>
      </w:pPr>
      <w:r w:rsidRPr="001F66E2">
        <w:rPr>
          <w:sz w:val="22"/>
          <w:szCs w:val="22"/>
          <w:lang w:val="pt-BR"/>
        </w:rPr>
        <w:lastRenderedPageBreak/>
        <w:t>Na elaboração do objeto contratado deverão ser observados os documentos abaixo, assim como toda a legislação municipal, estadual e federal pertinente, independente de citação: Instruções e resoluções dos órgãos do sistema CREA / CAU; Códigos, Leis, Decretos, Portarias e Normas Federais, Estaduais e Municipais; Normas das concessionárias locais de serviços, Corpo de Bombeiros, Vigilância Sanitária, entre outros;</w:t>
      </w:r>
      <w:r w:rsidR="00515E48" w:rsidRPr="001F66E2">
        <w:rPr>
          <w:sz w:val="22"/>
          <w:szCs w:val="22"/>
          <w:lang w:val="pt-BR"/>
        </w:rPr>
        <w:t xml:space="preserve"> </w:t>
      </w:r>
      <w:r w:rsidRPr="001F66E2">
        <w:rPr>
          <w:sz w:val="22"/>
          <w:szCs w:val="22"/>
          <w:lang w:val="pt-BR"/>
        </w:rPr>
        <w:t>Normas brasileiras elaboradas pela ABNT (Associação Brasileira de Normas Técnicas), regulamentadas pelo INMETRO (Instituto Nacional de Metrologia);</w:t>
      </w:r>
      <w:r w:rsidR="001550A4" w:rsidRPr="001F66E2">
        <w:rPr>
          <w:sz w:val="22"/>
          <w:szCs w:val="22"/>
          <w:lang w:val="pt-BR"/>
        </w:rPr>
        <w:t xml:space="preserve"> </w:t>
      </w:r>
      <w:r w:rsidRPr="001F66E2">
        <w:rPr>
          <w:sz w:val="22"/>
          <w:szCs w:val="22"/>
          <w:lang w:val="pt-BR"/>
        </w:rPr>
        <w:t>Normas regulamentadoras do Ministério do Trabalho e Emprego MTE;</w:t>
      </w:r>
      <w:r w:rsidR="001550A4" w:rsidRPr="001F66E2">
        <w:rPr>
          <w:sz w:val="22"/>
          <w:szCs w:val="22"/>
          <w:lang w:val="pt-BR"/>
        </w:rPr>
        <w:t xml:space="preserve"> </w:t>
      </w:r>
      <w:r w:rsidRPr="001F66E2">
        <w:rPr>
          <w:sz w:val="22"/>
          <w:szCs w:val="22"/>
          <w:lang w:val="pt-BR"/>
        </w:rPr>
        <w:t>Normas internacionais específicas consagradas, se necessário; outras normas aplicáveis ao objeto do Contrato.</w:t>
      </w:r>
    </w:p>
    <w:p w14:paraId="013CA64D" w14:textId="3F6CBC42" w:rsidR="00C13998" w:rsidRPr="001F66E2" w:rsidRDefault="001A27B9" w:rsidP="00515E48">
      <w:pPr>
        <w:pStyle w:val="PargrafodaLista"/>
        <w:numPr>
          <w:ilvl w:val="1"/>
          <w:numId w:val="7"/>
        </w:numPr>
        <w:tabs>
          <w:tab w:val="left" w:pos="0"/>
          <w:tab w:val="left" w:pos="142"/>
        </w:tabs>
        <w:spacing w:line="360" w:lineRule="auto"/>
        <w:ind w:left="0" w:firstLine="0"/>
        <w:jc w:val="both"/>
        <w:rPr>
          <w:sz w:val="22"/>
          <w:szCs w:val="22"/>
        </w:rPr>
      </w:pPr>
      <w:r w:rsidRPr="001F66E2">
        <w:rPr>
          <w:rFonts w:eastAsia="Calibri"/>
          <w:sz w:val="22"/>
          <w:szCs w:val="22"/>
        </w:rPr>
        <w:t>Não será admitida a subcontratação do objeto contratual.</w:t>
      </w:r>
    </w:p>
    <w:p w14:paraId="7AEDC73F" w14:textId="5285C581" w:rsidR="00030932" w:rsidRPr="001F66E2" w:rsidRDefault="00030932" w:rsidP="00515E48">
      <w:pPr>
        <w:pStyle w:val="PargrafodaLista"/>
        <w:numPr>
          <w:ilvl w:val="1"/>
          <w:numId w:val="7"/>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Não haverá exigência da garantia da contratação dos </w:t>
      </w:r>
      <w:proofErr w:type="spellStart"/>
      <w:r w:rsidRPr="001F66E2">
        <w:rPr>
          <w:rFonts w:eastAsia="Calibri"/>
          <w:sz w:val="22"/>
          <w:szCs w:val="22"/>
        </w:rPr>
        <w:t>arts</w:t>
      </w:r>
      <w:proofErr w:type="spellEnd"/>
      <w:r w:rsidRPr="001F66E2">
        <w:rPr>
          <w:rFonts w:eastAsia="Calibri"/>
          <w:sz w:val="22"/>
          <w:szCs w:val="22"/>
        </w:rPr>
        <w:t>. 96 e seguintes da Lei nº 14.133/21</w:t>
      </w:r>
      <w:r w:rsidRPr="001F66E2">
        <w:rPr>
          <w:rFonts w:eastAsia="Calibri"/>
          <w:sz w:val="22"/>
          <w:szCs w:val="22"/>
          <w:lang w:val="pt-BR"/>
        </w:rPr>
        <w:t>.</w:t>
      </w:r>
    </w:p>
    <w:p w14:paraId="70F6D0B5" w14:textId="49DEB6E1" w:rsidR="00B45FA0" w:rsidRPr="001F66E2" w:rsidRDefault="001550A4" w:rsidP="00515E48">
      <w:pPr>
        <w:pStyle w:val="PargrafodaLista"/>
        <w:numPr>
          <w:ilvl w:val="1"/>
          <w:numId w:val="7"/>
        </w:numPr>
        <w:tabs>
          <w:tab w:val="left" w:pos="0"/>
          <w:tab w:val="left" w:pos="142"/>
        </w:tabs>
        <w:spacing w:line="360" w:lineRule="auto"/>
        <w:ind w:left="0" w:firstLine="0"/>
        <w:jc w:val="both"/>
        <w:rPr>
          <w:rFonts w:eastAsia="Calibri"/>
          <w:sz w:val="22"/>
          <w:szCs w:val="22"/>
        </w:rPr>
      </w:pPr>
      <w:r w:rsidRPr="001F66E2">
        <w:rPr>
          <w:rFonts w:eastAsia="Calibri"/>
          <w:sz w:val="22"/>
          <w:szCs w:val="22"/>
          <w:lang w:val="pt-BR"/>
        </w:rPr>
        <w:t>Não há necessidade de realização de avaliação prévia do local de execução dos serviços.</w:t>
      </w:r>
    </w:p>
    <w:p w14:paraId="1BDF3C2A" w14:textId="13CBF19C" w:rsidR="00D61F7E" w:rsidRPr="001F66E2" w:rsidRDefault="00AC0437" w:rsidP="00515E48">
      <w:pPr>
        <w:pStyle w:val="PargrafodaLista"/>
        <w:numPr>
          <w:ilvl w:val="0"/>
          <w:numId w:val="7"/>
        </w:numPr>
        <w:tabs>
          <w:tab w:val="left" w:pos="0"/>
        </w:tabs>
        <w:spacing w:line="360" w:lineRule="auto"/>
        <w:ind w:left="0" w:firstLine="0"/>
        <w:jc w:val="both"/>
        <w:rPr>
          <w:rFonts w:eastAsia="Calibri"/>
          <w:sz w:val="22"/>
          <w:szCs w:val="22"/>
        </w:rPr>
      </w:pPr>
      <w:r w:rsidRPr="001F66E2">
        <w:rPr>
          <w:b/>
          <w:sz w:val="22"/>
          <w:szCs w:val="22"/>
        </w:rPr>
        <w:t>DA</w:t>
      </w:r>
      <w:r w:rsidR="001A27B9" w:rsidRPr="001F66E2">
        <w:rPr>
          <w:b/>
          <w:sz w:val="22"/>
          <w:szCs w:val="22"/>
        </w:rPr>
        <w:t xml:space="preserve"> </w:t>
      </w:r>
      <w:r w:rsidR="00E2708F" w:rsidRPr="001F66E2">
        <w:rPr>
          <w:b/>
          <w:sz w:val="22"/>
          <w:szCs w:val="22"/>
        </w:rPr>
        <w:t>EXECUÇÃO DO OBJETO</w:t>
      </w:r>
    </w:p>
    <w:p w14:paraId="1291A267" w14:textId="18387DD1" w:rsidR="008B2553" w:rsidRPr="001F66E2" w:rsidRDefault="008B2553" w:rsidP="00515E48">
      <w:pPr>
        <w:pStyle w:val="PargrafodaLista"/>
        <w:numPr>
          <w:ilvl w:val="1"/>
          <w:numId w:val="7"/>
        </w:numPr>
        <w:tabs>
          <w:tab w:val="left" w:pos="0"/>
          <w:tab w:val="left" w:pos="142"/>
        </w:tabs>
        <w:spacing w:line="360" w:lineRule="auto"/>
        <w:ind w:left="0" w:firstLine="0"/>
        <w:jc w:val="both"/>
        <w:rPr>
          <w:sz w:val="22"/>
          <w:szCs w:val="22"/>
          <w:lang w:val="pt-BR"/>
        </w:rPr>
      </w:pPr>
      <w:r w:rsidRPr="001F66E2">
        <w:rPr>
          <w:sz w:val="22"/>
          <w:szCs w:val="22"/>
          <w:lang w:val="pt-BR"/>
        </w:rPr>
        <w:t>Os relatórios serão entregues em até 10 dias a parti</w:t>
      </w:r>
      <w:r w:rsidR="006B1E2A" w:rsidRPr="001F66E2">
        <w:rPr>
          <w:sz w:val="22"/>
          <w:szCs w:val="22"/>
          <w:lang w:val="pt-BR"/>
        </w:rPr>
        <w:t>r</w:t>
      </w:r>
      <w:r w:rsidRPr="001F66E2">
        <w:rPr>
          <w:sz w:val="22"/>
          <w:szCs w:val="22"/>
          <w:lang w:val="pt-BR"/>
        </w:rPr>
        <w:t xml:space="preserve"> da execução do serviço, em formato digital, no setor de engenharia do município, assinada pelo responsável técnico e respectiva anotação de responsabilidade técnica – ART/RRT, assinada.</w:t>
      </w:r>
    </w:p>
    <w:p w14:paraId="09BCBD16" w14:textId="77777777" w:rsidR="007877F3" w:rsidRPr="001F66E2" w:rsidRDefault="00871364" w:rsidP="00515E48">
      <w:pPr>
        <w:pStyle w:val="PargrafodaLista"/>
        <w:numPr>
          <w:ilvl w:val="1"/>
          <w:numId w:val="7"/>
        </w:numPr>
        <w:tabs>
          <w:tab w:val="left" w:pos="0"/>
          <w:tab w:val="left" w:pos="142"/>
        </w:tabs>
        <w:spacing w:line="360" w:lineRule="auto"/>
        <w:ind w:left="0" w:firstLine="0"/>
        <w:jc w:val="both"/>
        <w:rPr>
          <w:sz w:val="22"/>
          <w:szCs w:val="22"/>
          <w:lang w:val="pt-BR"/>
        </w:rPr>
      </w:pPr>
      <w:r w:rsidRPr="001F66E2">
        <w:rPr>
          <w:sz w:val="22"/>
          <w:szCs w:val="22"/>
          <w:lang w:val="pt-BR"/>
        </w:rPr>
        <w:t xml:space="preserve">Os serviços deverão </w:t>
      </w:r>
      <w:r w:rsidR="007877F3" w:rsidRPr="001F66E2">
        <w:rPr>
          <w:sz w:val="22"/>
          <w:szCs w:val="22"/>
          <w:lang w:val="pt-BR"/>
        </w:rPr>
        <w:t>ser executados no prazo de 20 (vinte) dias após a emissão da ordem de serviços.</w:t>
      </w:r>
    </w:p>
    <w:p w14:paraId="479C635F" w14:textId="03A91CA6" w:rsidR="002E63F1" w:rsidRPr="001F66E2" w:rsidRDefault="007877F3" w:rsidP="00515E48">
      <w:pPr>
        <w:pStyle w:val="PargrafodaLista"/>
        <w:numPr>
          <w:ilvl w:val="1"/>
          <w:numId w:val="7"/>
        </w:numPr>
        <w:tabs>
          <w:tab w:val="left" w:pos="0"/>
          <w:tab w:val="left" w:pos="142"/>
        </w:tabs>
        <w:spacing w:line="360" w:lineRule="auto"/>
        <w:ind w:left="0" w:firstLine="0"/>
        <w:jc w:val="both"/>
        <w:rPr>
          <w:sz w:val="22"/>
          <w:szCs w:val="22"/>
          <w:lang w:val="pt-BR"/>
        </w:rPr>
      </w:pPr>
      <w:r w:rsidRPr="001F66E2">
        <w:rPr>
          <w:sz w:val="22"/>
          <w:szCs w:val="22"/>
          <w:lang w:val="pt-BR"/>
        </w:rPr>
        <w:t>Os desenhos e demais documentos técnicos deverão obedecer aos formatos e normas de representação previstas na ABNT e deverá ser indicada, para cada Projeto, a simbologia utilizada.</w:t>
      </w:r>
    </w:p>
    <w:p w14:paraId="0A6229B3" w14:textId="77777777" w:rsidR="00A53CCD" w:rsidRPr="001F66E2" w:rsidRDefault="00A53CCD" w:rsidP="00515E48">
      <w:pPr>
        <w:pStyle w:val="PargrafodaLista"/>
        <w:numPr>
          <w:ilvl w:val="1"/>
          <w:numId w:val="17"/>
        </w:numPr>
        <w:tabs>
          <w:tab w:val="left" w:pos="0"/>
        </w:tabs>
        <w:spacing w:line="360" w:lineRule="auto"/>
        <w:ind w:left="0" w:firstLine="0"/>
        <w:rPr>
          <w:iCs/>
          <w:sz w:val="22"/>
          <w:szCs w:val="22"/>
        </w:rPr>
      </w:pPr>
      <w:r w:rsidRPr="001F66E2">
        <w:rPr>
          <w:sz w:val="22"/>
          <w:szCs w:val="22"/>
          <w:lang w:val="pt-BR"/>
        </w:rPr>
        <w:t>Os pontos serão fornecidos pelo Setor de Engenharia da Secretaria de Obras, observando também o recomendado pela equipe de levantamento topográfico, para estudos de obra civil</w:t>
      </w:r>
      <w:r w:rsidRPr="001F66E2">
        <w:rPr>
          <w:iCs/>
          <w:sz w:val="22"/>
          <w:szCs w:val="22"/>
          <w:lang w:val="pt-BR"/>
        </w:rPr>
        <w:t>.</w:t>
      </w:r>
    </w:p>
    <w:p w14:paraId="54B6485C" w14:textId="6CA4D3E7" w:rsidR="006257A5" w:rsidRPr="001F66E2" w:rsidRDefault="006257A5" w:rsidP="00515E48">
      <w:pPr>
        <w:pStyle w:val="PargrafodaLista"/>
        <w:numPr>
          <w:ilvl w:val="1"/>
          <w:numId w:val="17"/>
        </w:numPr>
        <w:tabs>
          <w:tab w:val="left" w:pos="0"/>
        </w:tabs>
        <w:spacing w:line="360" w:lineRule="auto"/>
        <w:ind w:left="0" w:firstLine="0"/>
        <w:rPr>
          <w:iCs/>
          <w:sz w:val="22"/>
          <w:szCs w:val="22"/>
        </w:rPr>
      </w:pPr>
      <w:r w:rsidRPr="001F66E2">
        <w:rPr>
          <w:iCs/>
          <w:sz w:val="22"/>
          <w:szCs w:val="22"/>
        </w:rPr>
        <w:t>O prazo de garantia contratual dos serviços é aquele estabelecido na Lei nº 8.078, de 11 de setembro de 1990 (Código de Defesa do Consumidor).</w:t>
      </w:r>
    </w:p>
    <w:p w14:paraId="02F9A065" w14:textId="5DFC25BE" w:rsidR="00F835BF" w:rsidRPr="001F66E2" w:rsidRDefault="00F835BF" w:rsidP="00515E48">
      <w:pPr>
        <w:pStyle w:val="PargrafodaLista"/>
        <w:numPr>
          <w:ilvl w:val="1"/>
          <w:numId w:val="17"/>
        </w:numPr>
        <w:tabs>
          <w:tab w:val="left" w:pos="0"/>
          <w:tab w:val="left" w:pos="142"/>
        </w:tabs>
        <w:spacing w:line="360" w:lineRule="auto"/>
        <w:ind w:left="0" w:firstLine="0"/>
        <w:jc w:val="both"/>
        <w:rPr>
          <w:iCs/>
          <w:sz w:val="22"/>
          <w:szCs w:val="22"/>
        </w:rPr>
      </w:pPr>
      <w:r w:rsidRPr="001F66E2">
        <w:rPr>
          <w:iCs/>
          <w:sz w:val="22"/>
          <w:szCs w:val="22"/>
          <w:lang w:val="pt-BR"/>
        </w:rPr>
        <w:t>Não serão necessários procedimentos de transição e finalização do contrato devido às características do objeto.</w:t>
      </w:r>
    </w:p>
    <w:p w14:paraId="53E42349" w14:textId="1B8E9EFB" w:rsidR="009D656B" w:rsidRPr="001F66E2" w:rsidRDefault="00AC0437" w:rsidP="00515E48">
      <w:pPr>
        <w:pStyle w:val="PargrafodaLista"/>
        <w:numPr>
          <w:ilvl w:val="0"/>
          <w:numId w:val="17"/>
        </w:numPr>
        <w:tabs>
          <w:tab w:val="left" w:pos="0"/>
        </w:tabs>
        <w:spacing w:line="360" w:lineRule="auto"/>
        <w:ind w:left="0" w:firstLine="0"/>
        <w:jc w:val="both"/>
        <w:rPr>
          <w:iCs/>
          <w:sz w:val="22"/>
          <w:szCs w:val="22"/>
        </w:rPr>
      </w:pPr>
      <w:r w:rsidRPr="001F66E2">
        <w:rPr>
          <w:b/>
          <w:sz w:val="22"/>
          <w:szCs w:val="22"/>
        </w:rPr>
        <w:t xml:space="preserve">DA </w:t>
      </w:r>
      <w:r w:rsidR="001A27B9" w:rsidRPr="001F66E2">
        <w:rPr>
          <w:b/>
          <w:sz w:val="22"/>
          <w:szCs w:val="22"/>
        </w:rPr>
        <w:t xml:space="preserve">GESTÃO DO CONTRATO </w:t>
      </w:r>
      <w:r w:rsidR="0041360E" w:rsidRPr="001F66E2">
        <w:rPr>
          <w:b/>
          <w:sz w:val="22"/>
          <w:szCs w:val="22"/>
        </w:rPr>
        <w:t>ROTINAS DE FISCALIZAÇÃO CONTRATUAL</w:t>
      </w:r>
    </w:p>
    <w:p w14:paraId="41A11E79" w14:textId="42A882CD"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órgão ou entidade poderá convocar representante da empresa para adoção de providências que devam ser cumpridas de imediato.</w:t>
      </w:r>
    </w:p>
    <w:p w14:paraId="627C25C8" w14:textId="1250EA01"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w:t>
      </w:r>
      <w:r w:rsidRPr="001F66E2">
        <w:rPr>
          <w:rFonts w:eastAsia="Calibri"/>
          <w:sz w:val="22"/>
          <w:szCs w:val="22"/>
        </w:rPr>
        <w:lastRenderedPageBreak/>
        <w:t xml:space="preserve">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774CCB6" w14:textId="77777777" w:rsidR="003C3CBA" w:rsidRPr="001F66E2" w:rsidRDefault="003C3CBA"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A Contratada designará formalmente o preposto da empresa, antes do início da prestação dos serviços, indicando no instrumento os poderes e deveres em relação à execução do objeto contratado.</w:t>
      </w:r>
    </w:p>
    <w:p w14:paraId="452DE9A0" w14:textId="258FF7E6" w:rsidR="003C3CBA" w:rsidRPr="001F66E2" w:rsidRDefault="003C3CBA"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A Contratada deverá manter preposto da empresa no local da execução do objeto durante o período </w:t>
      </w:r>
      <w:r w:rsidRPr="001F66E2">
        <w:rPr>
          <w:rFonts w:eastAsia="Calibri"/>
          <w:sz w:val="22"/>
          <w:szCs w:val="22"/>
          <w:lang w:val="pt-BR"/>
        </w:rPr>
        <w:t>do contrato.</w:t>
      </w:r>
    </w:p>
    <w:p w14:paraId="1F2607AD" w14:textId="4F11A4CC" w:rsidR="003C3CBA" w:rsidRPr="001F66E2" w:rsidRDefault="003C3CBA"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4FC2504F"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A execução do contrato deverá ser acompanhada e fiscalizada pelo(s) fiscal(</w:t>
      </w:r>
      <w:proofErr w:type="spellStart"/>
      <w:r w:rsidRPr="001F66E2">
        <w:rPr>
          <w:rFonts w:eastAsia="Calibri"/>
          <w:sz w:val="22"/>
          <w:szCs w:val="22"/>
        </w:rPr>
        <w:t>is</w:t>
      </w:r>
      <w:proofErr w:type="spellEnd"/>
      <w:r w:rsidRPr="001F66E2">
        <w:rPr>
          <w:rFonts w:eastAsia="Calibri"/>
          <w:sz w:val="22"/>
          <w:szCs w:val="22"/>
        </w:rPr>
        <w:t>) do contrato, ou pelos respectivos substitutos.</w:t>
      </w:r>
    </w:p>
    <w:p w14:paraId="6C8FBAB1" w14:textId="77777777" w:rsidR="00DE1052" w:rsidRPr="001F66E2" w:rsidRDefault="00DE1052" w:rsidP="00515E48">
      <w:pPr>
        <w:pStyle w:val="PargrafodaLista"/>
        <w:numPr>
          <w:ilvl w:val="1"/>
          <w:numId w:val="18"/>
        </w:numPr>
        <w:tabs>
          <w:tab w:val="left" w:pos="0"/>
        </w:tabs>
        <w:spacing w:line="360" w:lineRule="auto"/>
        <w:ind w:left="0" w:firstLine="0"/>
        <w:jc w:val="both"/>
        <w:rPr>
          <w:rFonts w:eastAsia="Calibri"/>
          <w:sz w:val="22"/>
          <w:szCs w:val="22"/>
        </w:rPr>
      </w:pPr>
      <w:r w:rsidRPr="001F66E2">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1F66E2" w:rsidRDefault="00DE1052" w:rsidP="00515E48">
      <w:pPr>
        <w:pStyle w:val="PargrafodaLista"/>
        <w:numPr>
          <w:ilvl w:val="2"/>
          <w:numId w:val="18"/>
        </w:numPr>
        <w:tabs>
          <w:tab w:val="left" w:pos="0"/>
        </w:tabs>
        <w:spacing w:line="360" w:lineRule="auto"/>
        <w:ind w:left="0" w:firstLine="0"/>
        <w:jc w:val="both"/>
        <w:rPr>
          <w:rFonts w:eastAsia="Calibri"/>
          <w:sz w:val="22"/>
          <w:szCs w:val="22"/>
        </w:rPr>
      </w:pPr>
      <w:r w:rsidRPr="001F66E2">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1F66E2" w:rsidRDefault="00DE1052" w:rsidP="00515E48">
      <w:pPr>
        <w:pStyle w:val="PargrafodaLista"/>
        <w:numPr>
          <w:ilvl w:val="2"/>
          <w:numId w:val="18"/>
        </w:numPr>
        <w:tabs>
          <w:tab w:val="left" w:pos="0"/>
        </w:tabs>
        <w:spacing w:line="360" w:lineRule="auto"/>
        <w:ind w:left="0" w:firstLine="0"/>
        <w:jc w:val="both"/>
        <w:rPr>
          <w:rFonts w:eastAsia="Calibri"/>
          <w:sz w:val="22"/>
          <w:szCs w:val="22"/>
        </w:rPr>
      </w:pPr>
      <w:r w:rsidRPr="001F66E2">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1F66E2" w:rsidRDefault="00DE1052" w:rsidP="00515E48">
      <w:pPr>
        <w:pStyle w:val="PargrafodaLista"/>
        <w:numPr>
          <w:ilvl w:val="2"/>
          <w:numId w:val="18"/>
        </w:numPr>
        <w:tabs>
          <w:tab w:val="left" w:pos="0"/>
        </w:tabs>
        <w:spacing w:line="360" w:lineRule="auto"/>
        <w:ind w:left="0" w:firstLine="0"/>
        <w:jc w:val="both"/>
        <w:rPr>
          <w:rFonts w:eastAsia="Calibri"/>
          <w:sz w:val="22"/>
          <w:szCs w:val="22"/>
        </w:rPr>
      </w:pPr>
      <w:r w:rsidRPr="001F66E2">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1F66E2" w:rsidRDefault="00DE1052" w:rsidP="00515E48">
      <w:pPr>
        <w:pStyle w:val="PargrafodaLista"/>
        <w:numPr>
          <w:ilvl w:val="2"/>
          <w:numId w:val="18"/>
        </w:numPr>
        <w:tabs>
          <w:tab w:val="left" w:pos="0"/>
        </w:tabs>
        <w:spacing w:line="360" w:lineRule="auto"/>
        <w:ind w:left="0" w:firstLine="0"/>
        <w:jc w:val="both"/>
        <w:rPr>
          <w:rFonts w:eastAsia="Calibri"/>
          <w:sz w:val="22"/>
          <w:szCs w:val="22"/>
        </w:rPr>
      </w:pPr>
      <w:r w:rsidRPr="001F66E2">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1F66E2" w:rsidRDefault="00DE1052" w:rsidP="00515E48">
      <w:pPr>
        <w:pStyle w:val="PargrafodaLista"/>
        <w:numPr>
          <w:ilvl w:val="2"/>
          <w:numId w:val="18"/>
        </w:numPr>
        <w:tabs>
          <w:tab w:val="left" w:pos="0"/>
        </w:tabs>
        <w:spacing w:line="360" w:lineRule="auto"/>
        <w:ind w:left="0" w:firstLine="0"/>
        <w:jc w:val="both"/>
        <w:rPr>
          <w:rFonts w:eastAsia="Calibri"/>
          <w:sz w:val="22"/>
          <w:szCs w:val="22"/>
        </w:rPr>
      </w:pPr>
      <w:r w:rsidRPr="001F66E2">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1F66E2" w:rsidRDefault="00DE1052" w:rsidP="00515E48">
      <w:pPr>
        <w:pStyle w:val="PargrafodaLista"/>
        <w:numPr>
          <w:ilvl w:val="1"/>
          <w:numId w:val="18"/>
        </w:numPr>
        <w:tabs>
          <w:tab w:val="left" w:pos="0"/>
        </w:tabs>
        <w:spacing w:line="360" w:lineRule="auto"/>
        <w:ind w:left="0" w:firstLine="0"/>
        <w:jc w:val="both"/>
        <w:rPr>
          <w:rFonts w:eastAsia="Calibri"/>
          <w:sz w:val="22"/>
          <w:szCs w:val="22"/>
        </w:rPr>
      </w:pPr>
      <w:r w:rsidRPr="001F66E2">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lastRenderedPageBreak/>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3BFE6750"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1F66E2" w:rsidRDefault="00DE1052" w:rsidP="00515E48">
      <w:pPr>
        <w:pStyle w:val="PargrafodaLista"/>
        <w:numPr>
          <w:ilvl w:val="0"/>
          <w:numId w:val="18"/>
        </w:numPr>
        <w:tabs>
          <w:tab w:val="left" w:pos="0"/>
        </w:tabs>
        <w:spacing w:line="360" w:lineRule="auto"/>
        <w:ind w:left="0" w:firstLine="0"/>
        <w:jc w:val="both"/>
        <w:rPr>
          <w:rFonts w:eastAsia="Calibri"/>
          <w:b/>
          <w:sz w:val="22"/>
          <w:szCs w:val="22"/>
        </w:rPr>
      </w:pPr>
      <w:r w:rsidRPr="001F66E2">
        <w:rPr>
          <w:rFonts w:eastAsia="Calibri"/>
          <w:b/>
          <w:sz w:val="22"/>
          <w:szCs w:val="22"/>
        </w:rPr>
        <w:t>CRITÉRIOS DE PAGAMENTO</w:t>
      </w:r>
    </w:p>
    <w:p w14:paraId="098CD49B" w14:textId="28A3C429" w:rsidR="00D2314E" w:rsidRPr="001F66E2" w:rsidRDefault="00D2314E" w:rsidP="00515E48">
      <w:pPr>
        <w:pStyle w:val="Nivel2"/>
        <w:numPr>
          <w:ilvl w:val="1"/>
          <w:numId w:val="18"/>
        </w:numPr>
        <w:tabs>
          <w:tab w:val="left" w:pos="0"/>
        </w:tabs>
        <w:spacing w:before="0" w:after="0" w:line="360" w:lineRule="auto"/>
        <w:ind w:left="0" w:firstLine="0"/>
        <w:rPr>
          <w:rFonts w:ascii="Times New Roman" w:hAnsi="Times New Roman" w:cs="Times New Roman"/>
          <w:color w:val="000000" w:themeColor="text1"/>
          <w:sz w:val="22"/>
          <w:szCs w:val="22"/>
        </w:rPr>
      </w:pPr>
      <w:r w:rsidRPr="001F66E2">
        <w:rPr>
          <w:rFonts w:ascii="Times New Roman" w:hAnsi="Times New Roman" w:cs="Times New Roman"/>
          <w:color w:val="000000" w:themeColor="text1"/>
          <w:sz w:val="22"/>
          <w:szCs w:val="22"/>
        </w:rPr>
        <w:t xml:space="preserve">A avaliação da execução do objeto utilizará </w:t>
      </w:r>
      <w:r w:rsidRPr="001F66E2">
        <w:rPr>
          <w:rFonts w:ascii="Times New Roman" w:hAnsi="Times New Roman" w:cs="Times New Roman"/>
          <w:sz w:val="22"/>
          <w:szCs w:val="22"/>
        </w:rPr>
        <w:t>o Instrumento de Medição de Resultado (IMR), conforme previsto no disposto neste item.</w:t>
      </w:r>
    </w:p>
    <w:p w14:paraId="41A5637A" w14:textId="22465FCC" w:rsidR="00D2314E" w:rsidRPr="001F66E2" w:rsidRDefault="00D2314E"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Será indicada a retenção ou glosa no pagamento, proporcional à irregularidade verificada, sem prejuízo das sanções cabíveis, caso se constate que a Contratada:</w:t>
      </w:r>
    </w:p>
    <w:p w14:paraId="382BF022" w14:textId="77777777" w:rsidR="00D2314E" w:rsidRPr="001F66E2" w:rsidRDefault="00D2314E" w:rsidP="00515E48">
      <w:pPr>
        <w:pStyle w:val="PargrafodaLista"/>
        <w:numPr>
          <w:ilvl w:val="3"/>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não produzir os resultados acordados,</w:t>
      </w:r>
    </w:p>
    <w:p w14:paraId="7C315D3A" w14:textId="77777777" w:rsidR="00D2314E" w:rsidRPr="001F66E2" w:rsidRDefault="00D2314E" w:rsidP="00515E48">
      <w:pPr>
        <w:pStyle w:val="PargrafodaLista"/>
        <w:numPr>
          <w:ilvl w:val="3"/>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deixar de executar, ou não executar com a qualidade mínima exigida as atividades contratadas; ou</w:t>
      </w:r>
    </w:p>
    <w:p w14:paraId="6CCBC423" w14:textId="0726F27D" w:rsidR="00DE1052" w:rsidRPr="001F66E2" w:rsidRDefault="00D2314E" w:rsidP="00515E48">
      <w:pPr>
        <w:pStyle w:val="PargrafodaLista"/>
        <w:numPr>
          <w:ilvl w:val="3"/>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deixar de utilizar materiais e recursos humanos exigidos para a execução do serviço, ou utilizá-los com qualidade ou quantidade inferior à demandada</w:t>
      </w:r>
    </w:p>
    <w:p w14:paraId="00BE1C76" w14:textId="02EAD7E0" w:rsidR="00D2314E" w:rsidRPr="001F66E2" w:rsidRDefault="00D2314E"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lang w:val="pt-BR"/>
        </w:rPr>
        <w:t>Os serviços serão recebidos provisoriamente, no prazo de 30 (trinta) dias, pelos fiscais técnico e administrativo, mediante termos detalhados, quando verificado o cumprimento das exigências de caráter técnico e administrativo.</w:t>
      </w:r>
    </w:p>
    <w:p w14:paraId="3A73D89F" w14:textId="656D818F" w:rsidR="00DE1052" w:rsidRPr="001F66E2" w:rsidRDefault="00D2314E"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r w:rsidR="00DE1052" w:rsidRPr="001F66E2">
        <w:rPr>
          <w:rFonts w:eastAsia="Calibri"/>
          <w:sz w:val="22"/>
          <w:szCs w:val="22"/>
        </w:rPr>
        <w:t>.</w:t>
      </w:r>
    </w:p>
    <w:p w14:paraId="2B0D9115" w14:textId="2DC2030A"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fiscal técnico do contrato realizará o recebimento provisório do objeto do contrato mediante termo detalhado que comprove o cumprimento das exigências de caráter técnico. </w:t>
      </w:r>
    </w:p>
    <w:p w14:paraId="42838AC0" w14:textId="06FB59C6"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4B6EC376" w14:textId="77777777"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lastRenderedPageBreak/>
        <w:t>O fiscal setorial do contrato, quando houver, realizará o recebimento provisório sob o ponto de vista técnico e administrativo.</w:t>
      </w:r>
    </w:p>
    <w:p w14:paraId="734D6C4B" w14:textId="77777777"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ADC72FF" w14:textId="77777777" w:rsidR="00E164FB"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Será considerado como ocorrido o recebimento provisório com a entrega do termo detalhado ou, em havendo mais de um a ser feito, com a entrega do último;</w:t>
      </w:r>
    </w:p>
    <w:p w14:paraId="4F865471" w14:textId="77777777" w:rsidR="00E164FB"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C8BD6CE" w14:textId="77777777" w:rsidR="00E164FB"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A fiscalização não efetuará o ateste da última e/ou única medição de serviços até que sejam sanadas todas as eventuais pendências que possam vir a ser apontadas no Recebimento Provisório. </w:t>
      </w:r>
    </w:p>
    <w:p w14:paraId="4CAF2AF4" w14:textId="77777777" w:rsidR="00E164FB"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recebimento provisório também ficará sujeito, quando cabível, à conclusão de todos os testes de campo e à entrega dos Manuais e Instruções exigíveis.</w:t>
      </w:r>
    </w:p>
    <w:p w14:paraId="68476E26" w14:textId="0B86C7E4" w:rsidR="006A28C9"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75989D0" w14:textId="77777777"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108BA84" w14:textId="603863D6"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Os serviços serão recebidos definitivamente no prazo de </w:t>
      </w:r>
      <w:r w:rsidR="00E164FB" w:rsidRPr="001F66E2">
        <w:rPr>
          <w:rFonts w:eastAsia="Calibri"/>
          <w:sz w:val="22"/>
          <w:szCs w:val="22"/>
          <w:lang w:val="pt-BR"/>
        </w:rPr>
        <w:t>30 (trinta)</w:t>
      </w:r>
      <w:r w:rsidRPr="001F66E2">
        <w:rPr>
          <w:rFonts w:eastAsia="Calibri"/>
          <w:sz w:val="22"/>
          <w:szCs w:val="22"/>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04083D6A" w14:textId="77777777" w:rsidR="00D34D5C"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34D5C" w:rsidRPr="001F66E2">
        <w:rPr>
          <w:rFonts w:eastAsia="Calibri"/>
          <w:sz w:val="22"/>
          <w:szCs w:val="22"/>
          <w:lang w:val="pt-BR"/>
        </w:rPr>
        <w:t>.</w:t>
      </w:r>
    </w:p>
    <w:p w14:paraId="482270F4" w14:textId="77777777" w:rsidR="00D34D5C"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BD9468A" w14:textId="77777777" w:rsidR="00D34D5C"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Emitir Termo Detalhado para efeito de recebimento definitivo dos serviços prestados, com base nos relatórios e documentações apresentadas; e</w:t>
      </w:r>
    </w:p>
    <w:p w14:paraId="7CF22B7A" w14:textId="77777777" w:rsidR="00D34D5C"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lastRenderedPageBreak/>
        <w:t>Comunicar a empresa para que emita a Nota Fiscal ou Fatura, com o valor exato dimensionado pela fiscalização.</w:t>
      </w:r>
    </w:p>
    <w:p w14:paraId="6B759231" w14:textId="49271F8C" w:rsidR="006A28C9" w:rsidRPr="001F66E2" w:rsidRDefault="006A28C9"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Enviar a documentação pertinente ao setor de contratos para a formalização dos procedimentos de liquidação e pagamento, no valor dimensionado pela fiscalização e gestão.</w:t>
      </w:r>
    </w:p>
    <w:p w14:paraId="18765B90" w14:textId="77777777"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1F66E2">
        <w:rPr>
          <w:rFonts w:eastAsia="Calibri"/>
          <w:sz w:val="22"/>
          <w:szCs w:val="22"/>
        </w:rPr>
        <w:t>pertine</w:t>
      </w:r>
      <w:proofErr w:type="spellEnd"/>
      <w:r w:rsidRPr="001F66E2">
        <w:rPr>
          <w:rFonts w:eastAsia="Calibri"/>
          <w:sz w:val="22"/>
          <w:szCs w:val="22"/>
        </w:rPr>
        <w:t xml:space="preserve"> à parcela incontroversa da execução do objeto, para efeito de liquidação e pagamento.</w:t>
      </w:r>
    </w:p>
    <w:p w14:paraId="0FA35D3C" w14:textId="77777777"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Nenhum prazo de recebimento ocorrerá enquanto pendente a solução, pelo contratado, de inconsistências verificadas na execução do objeto ou no instrumento de cobrança.</w:t>
      </w:r>
    </w:p>
    <w:p w14:paraId="093C89F0" w14:textId="77777777" w:rsidR="006A28C9" w:rsidRPr="001F66E2" w:rsidRDefault="006A28C9"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recebimento provisório ou definitivo não excluirá a responsabilidade civil pela solidez e pela segurança do serviço nem a responsabilidade ético-profissional pela perfeita execução do contrato.</w:t>
      </w:r>
    </w:p>
    <w:p w14:paraId="19BFE6ED"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prazo de validade;</w:t>
      </w:r>
    </w:p>
    <w:p w14:paraId="6FF75E95" w14:textId="77777777" w:rsidR="007B5445"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a data da emissão;</w:t>
      </w:r>
    </w:p>
    <w:p w14:paraId="3E0CED0E" w14:textId="77777777" w:rsidR="007B5445"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os dados do contrato e do órgão contratante;</w:t>
      </w:r>
    </w:p>
    <w:p w14:paraId="5F9A8C12" w14:textId="77777777" w:rsidR="007B5445"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período respectivo de execução do contrato;</w:t>
      </w:r>
    </w:p>
    <w:p w14:paraId="34122D9A" w14:textId="77777777" w:rsidR="007B5445"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valor a pagar; e</w:t>
      </w:r>
    </w:p>
    <w:p w14:paraId="71D36BD1" w14:textId="05C6BB75" w:rsidR="00DE1052"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eventual destaque do valor de retenções tributárias cabíveis.</w:t>
      </w:r>
    </w:p>
    <w:p w14:paraId="56DC1FF8"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pagamento será efetuado no prazo de até 10 (dez) dias úteis contados da finali</w:t>
      </w:r>
      <w:bookmarkStart w:id="3" w:name="_GoBack"/>
      <w:bookmarkEnd w:id="3"/>
      <w:r w:rsidRPr="001F66E2">
        <w:rPr>
          <w:rFonts w:eastAsia="Calibri"/>
          <w:sz w:val="22"/>
          <w:szCs w:val="22"/>
        </w:rPr>
        <w:t>zação da liquidação da despesa, conforme seção anterior, nos termos da Instrução Normativa SEGES/ME nº 77, de 2022.</w:t>
      </w:r>
    </w:p>
    <w:p w14:paraId="67207B87" w14:textId="2EDB75C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lang w:val="pt-BR"/>
        </w:rPr>
      </w:pPr>
      <w:r w:rsidRPr="001F66E2">
        <w:rPr>
          <w:rFonts w:eastAsia="Calibri"/>
          <w:sz w:val="22"/>
          <w:szCs w:val="22"/>
        </w:rPr>
        <w:lastRenderedPageBreak/>
        <w:t xml:space="preserve">No caso de atraso pelo Contratante, os valores devidos ao contratado serão atualizados monetariamente entre o termo final do prazo de pagamento até a data de sua efetiva realização, mediante aplicação do </w:t>
      </w:r>
      <w:r w:rsidR="00E22035" w:rsidRPr="001F66E2">
        <w:rPr>
          <w:rFonts w:eastAsia="Calibri"/>
          <w:sz w:val="22"/>
          <w:szCs w:val="22"/>
          <w:lang w:val="pt-BR"/>
        </w:rPr>
        <w:t>IPCA (Índice Nacional de Preços ao Consumidor Amplo)</w:t>
      </w:r>
      <w:r w:rsidRPr="001F66E2">
        <w:rPr>
          <w:rFonts w:eastAsia="Calibri"/>
          <w:sz w:val="22"/>
          <w:szCs w:val="22"/>
        </w:rPr>
        <w:t xml:space="preserve"> de correção monetária.</w:t>
      </w:r>
    </w:p>
    <w:p w14:paraId="642FCCB9"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pagamento será realizado através de ordem bancária, para crédito em banco, agência e conta corrente indicados pelo contratado.</w:t>
      </w:r>
    </w:p>
    <w:p w14:paraId="18CDB784"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Será considerada data do pagamento o dia em que constar como emitida a ordem bancária para pagamento.</w:t>
      </w:r>
    </w:p>
    <w:p w14:paraId="2706026B" w14:textId="77777777"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Quando do pagamento, será efetuada a retenção tributária prevista na legislação aplicável.</w:t>
      </w:r>
    </w:p>
    <w:p w14:paraId="2C9796F1" w14:textId="5B7DAB47" w:rsidR="00DE1052" w:rsidRPr="001F66E2" w:rsidRDefault="00DE1052" w:rsidP="00515E48">
      <w:pPr>
        <w:pStyle w:val="PargrafodaLista"/>
        <w:numPr>
          <w:ilvl w:val="2"/>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1F66E2" w:rsidRDefault="00DE1052" w:rsidP="00515E48">
      <w:pPr>
        <w:pStyle w:val="PargrafodaLista"/>
        <w:numPr>
          <w:ilvl w:val="1"/>
          <w:numId w:val="18"/>
        </w:numPr>
        <w:tabs>
          <w:tab w:val="left" w:pos="0"/>
          <w:tab w:val="left" w:pos="142"/>
        </w:tabs>
        <w:spacing w:line="360" w:lineRule="auto"/>
        <w:ind w:left="0" w:firstLine="0"/>
        <w:jc w:val="both"/>
        <w:rPr>
          <w:rFonts w:eastAsia="Calibri"/>
          <w:sz w:val="22"/>
          <w:szCs w:val="22"/>
        </w:rPr>
      </w:pPr>
      <w:r w:rsidRPr="001F66E2">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1F66E2" w:rsidRDefault="001A27B9" w:rsidP="00515E48">
      <w:pPr>
        <w:pStyle w:val="PargrafodaLista"/>
        <w:numPr>
          <w:ilvl w:val="0"/>
          <w:numId w:val="18"/>
        </w:numPr>
        <w:tabs>
          <w:tab w:val="left" w:pos="0"/>
        </w:tabs>
        <w:spacing w:line="360" w:lineRule="auto"/>
        <w:ind w:left="0" w:firstLine="0"/>
        <w:jc w:val="both"/>
        <w:rPr>
          <w:rFonts w:eastAsia="Calibri"/>
          <w:b/>
          <w:sz w:val="22"/>
          <w:szCs w:val="22"/>
          <w:lang w:val="pt-BR"/>
        </w:rPr>
      </w:pPr>
      <w:r w:rsidRPr="001F66E2">
        <w:rPr>
          <w:b/>
          <w:sz w:val="22"/>
          <w:szCs w:val="22"/>
        </w:rPr>
        <w:t xml:space="preserve">FORMA E CRITÉRIOS DE SELEÇÃO DO FORNECEDOR </w:t>
      </w:r>
    </w:p>
    <w:p w14:paraId="0A81AD8D" w14:textId="0753FAE1" w:rsidR="00B30DF1" w:rsidRPr="001F66E2" w:rsidRDefault="00156297"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lang w:val="pt-BR"/>
        </w:rPr>
        <w:t>O fornecedor será selecionado por meio da realização de procedimento de LICITAÇÃO, na modalidade PREGÃO, sob a forma ELETRÔNICA, com adoção do critério de julgamento pelo MENOR PREÇO</w:t>
      </w:r>
      <w:r w:rsidR="00DA7D93" w:rsidRPr="001F66E2">
        <w:rPr>
          <w:sz w:val="22"/>
          <w:szCs w:val="22"/>
          <w:lang w:val="pt-BR"/>
        </w:rPr>
        <w:t>.</w:t>
      </w:r>
    </w:p>
    <w:p w14:paraId="5DF0420C" w14:textId="738FFD01" w:rsidR="00176385" w:rsidRPr="001F66E2" w:rsidRDefault="0032708B"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lang w:val="pt-BR"/>
        </w:rPr>
        <w:t xml:space="preserve">O regime de execução do contrato será: </w:t>
      </w:r>
      <w:r w:rsidR="00DA7D93" w:rsidRPr="001F66E2">
        <w:rPr>
          <w:sz w:val="22"/>
          <w:szCs w:val="22"/>
          <w:lang w:val="pt-BR"/>
        </w:rPr>
        <w:t>empreitada por preço global.</w:t>
      </w:r>
    </w:p>
    <w:p w14:paraId="4653C3DD" w14:textId="02524A6A" w:rsidR="00B30DF1" w:rsidRPr="001F66E2" w:rsidRDefault="001A27B9"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Para fins de contratação, deverá o fornecedor comprovar os seguintes requisitos de habilitação.</w:t>
      </w:r>
    </w:p>
    <w:p w14:paraId="2D17C66A"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Empresário individual:</w:t>
      </w:r>
      <w:r w:rsidRPr="001F66E2">
        <w:rPr>
          <w:sz w:val="22"/>
          <w:szCs w:val="22"/>
        </w:rPr>
        <w:t xml:space="preserve"> inscrição no Registro Público de Empresas Mercantis, a cargo da Junta Comercial da respectiva sede; </w:t>
      </w:r>
    </w:p>
    <w:p w14:paraId="0423AACD"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Microempreendedor Individual - MEI:</w:t>
      </w:r>
      <w:r w:rsidRPr="001F66E2">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Sociedade empresária, sociedade limitada unipessoal – SLU ou sociedade identificada como empresa individual de responsabilidade limitada - EIRELI:</w:t>
      </w:r>
      <w:r w:rsidRPr="001F66E2">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Sociedade empresária estrangeira:</w:t>
      </w:r>
      <w:r w:rsidRPr="001F66E2">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Sociedade simples:</w:t>
      </w:r>
      <w:r w:rsidRPr="001F66E2">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Filial, sucursal ou agência de sociedade simples ou empresária:</w:t>
      </w:r>
      <w:r w:rsidRPr="001F66E2">
        <w:rPr>
          <w:sz w:val="22"/>
          <w:szCs w:val="22"/>
        </w:rPr>
        <w:t xml:space="preserve"> inscrição do ato constitutivo da filial, sucursal ou agência da sociedade simples ou empresária, respectivamente, no Registro Civil das Pessoas </w:t>
      </w:r>
      <w:r w:rsidRPr="001F66E2">
        <w:rPr>
          <w:sz w:val="22"/>
          <w:szCs w:val="22"/>
        </w:rPr>
        <w:lastRenderedPageBreak/>
        <w:t>Jurídicas ou no Registro Público de Empresas Mercantis onde opera, com averbação no Registro onde tem sede a matriz</w:t>
      </w:r>
      <w:r w:rsidR="00A62E82" w:rsidRPr="001F66E2">
        <w:rPr>
          <w:sz w:val="22"/>
          <w:szCs w:val="22"/>
          <w:lang w:val="pt-BR"/>
        </w:rPr>
        <w:t>.</w:t>
      </w:r>
    </w:p>
    <w:p w14:paraId="50F45B70" w14:textId="77777777" w:rsidR="001467D5"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b/>
          <w:sz w:val="22"/>
          <w:szCs w:val="22"/>
        </w:rPr>
        <w:t>Sociedade cooperativa:</w:t>
      </w:r>
      <w:r w:rsidRPr="001F66E2">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Os documentos apresentados deverão estar acompanhados de todas as alterações ou da consolidação respectiva.</w:t>
      </w:r>
    </w:p>
    <w:p w14:paraId="2407FC5B" w14:textId="3C48BD04"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Prova de inscrição no Cadastro Nacional de Pessoas Jurídicas ou no Cadastro de Pessoas Físicas, conforme o caso;</w:t>
      </w:r>
    </w:p>
    <w:p w14:paraId="6168FD48"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Prova de regularidade com o Fundo de Garantia do Tempo de Serviço (FGTS);</w:t>
      </w:r>
    </w:p>
    <w:p w14:paraId="6A8B88A9" w14:textId="77777777"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bookmarkStart w:id="4" w:name="_Hlk161295820"/>
      <w:r w:rsidRPr="001F66E2">
        <w:rPr>
          <w:sz w:val="22"/>
          <w:szCs w:val="22"/>
        </w:rPr>
        <w:t>Prova de regularidade com a Fazenda Estadual</w:t>
      </w:r>
      <w:r w:rsidR="001E7B32" w:rsidRPr="001F66E2">
        <w:rPr>
          <w:sz w:val="22"/>
          <w:szCs w:val="22"/>
          <w:lang w:val="pt-BR"/>
        </w:rPr>
        <w:t xml:space="preserve"> </w:t>
      </w:r>
      <w:r w:rsidRPr="001F66E2">
        <w:rPr>
          <w:sz w:val="22"/>
          <w:szCs w:val="22"/>
        </w:rPr>
        <w:t>do domicílio ou sede do fornecedor, relativa à atividade em cujo exercício contrata ou concorre</w:t>
      </w:r>
      <w:bookmarkEnd w:id="4"/>
      <w:r w:rsidRPr="001F66E2">
        <w:rPr>
          <w:sz w:val="22"/>
          <w:szCs w:val="22"/>
        </w:rPr>
        <w:t>;</w:t>
      </w:r>
    </w:p>
    <w:p w14:paraId="07A6029D" w14:textId="2653A69F" w:rsidR="00585306" w:rsidRPr="001F66E2" w:rsidRDefault="0058530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Prova de regularidade com a Fazenda Municipal do domicílio ou sede do fornecedor, relativa à atividade em cujo exercício contrata ou concorre</w:t>
      </w:r>
    </w:p>
    <w:p w14:paraId="683D6EC3" w14:textId="4D352B4B"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1F66E2" w:rsidRDefault="00E82F86"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71A38FF3" w:rsidR="00521EA0" w:rsidRPr="001F66E2" w:rsidRDefault="00585306" w:rsidP="00515E48">
      <w:pPr>
        <w:pStyle w:val="PargrafodaLista"/>
        <w:numPr>
          <w:ilvl w:val="1"/>
          <w:numId w:val="18"/>
        </w:numPr>
        <w:tabs>
          <w:tab w:val="left" w:pos="0"/>
          <w:tab w:val="left" w:pos="142"/>
        </w:tabs>
        <w:spacing w:line="360" w:lineRule="auto"/>
        <w:ind w:left="0" w:firstLine="0"/>
        <w:jc w:val="both"/>
        <w:rPr>
          <w:sz w:val="22"/>
          <w:szCs w:val="22"/>
          <w:lang w:val="pt-BR"/>
        </w:rPr>
      </w:pPr>
      <w:r w:rsidRPr="001F66E2">
        <w:rPr>
          <w:sz w:val="22"/>
          <w:szCs w:val="22"/>
          <w:lang w:val="pt-BR"/>
        </w:rPr>
        <w:t>C</w:t>
      </w:r>
      <w:r w:rsidR="00521EA0" w:rsidRPr="001F66E2">
        <w:rPr>
          <w:sz w:val="22"/>
          <w:szCs w:val="22"/>
          <w:lang w:val="pt-BR"/>
        </w:rPr>
        <w:t>ertidão negativa de falência expedida pelo distribuidor da sede do fornecedor</w:t>
      </w:r>
      <w:r w:rsidR="00E92105" w:rsidRPr="001F66E2">
        <w:rPr>
          <w:sz w:val="22"/>
          <w:szCs w:val="22"/>
          <w:lang w:val="pt-BR"/>
        </w:rPr>
        <w:t>;</w:t>
      </w:r>
    </w:p>
    <w:p w14:paraId="761F52DC" w14:textId="4E474D7D" w:rsidR="000B3869" w:rsidRPr="001F66E2" w:rsidRDefault="000B3869" w:rsidP="00515E48">
      <w:pPr>
        <w:pStyle w:val="PargrafodaLista"/>
        <w:numPr>
          <w:ilvl w:val="1"/>
          <w:numId w:val="18"/>
        </w:numPr>
        <w:tabs>
          <w:tab w:val="left" w:pos="0"/>
          <w:tab w:val="left" w:pos="142"/>
        </w:tabs>
        <w:spacing w:line="360" w:lineRule="auto"/>
        <w:ind w:left="0" w:firstLine="0"/>
        <w:jc w:val="both"/>
        <w:rPr>
          <w:sz w:val="22"/>
          <w:szCs w:val="22"/>
          <w:lang w:val="pt-BR"/>
        </w:rPr>
      </w:pPr>
      <w:r w:rsidRPr="001F66E2">
        <w:rPr>
          <w:sz w:val="22"/>
          <w:szCs w:val="22"/>
          <w:lang w:val="pt-BR"/>
        </w:rPr>
        <w:t>Certidão de Registro e Quitação de Pessoa Jurídica do Conselho de Arquitetura e Urbanismo (CAU) e</w:t>
      </w:r>
      <w:r w:rsidR="003E7B48" w:rsidRPr="001F66E2">
        <w:rPr>
          <w:sz w:val="22"/>
          <w:szCs w:val="22"/>
          <w:lang w:val="pt-BR"/>
        </w:rPr>
        <w:t>/ou</w:t>
      </w:r>
      <w:r w:rsidRPr="001F66E2">
        <w:rPr>
          <w:sz w:val="22"/>
          <w:szCs w:val="22"/>
          <w:lang w:val="pt-BR"/>
        </w:rPr>
        <w:t xml:space="preserve"> do Conselho Regional de Engenharia, Arquitetura e Agronomia (CREA).</w:t>
      </w:r>
    </w:p>
    <w:p w14:paraId="2B5881A7" w14:textId="279332F5" w:rsidR="00C32D2C" w:rsidRPr="001F66E2" w:rsidRDefault="00C32D2C"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rPr>
        <w:t xml:space="preserve">Certidão de </w:t>
      </w:r>
      <w:r w:rsidRPr="001F66E2">
        <w:rPr>
          <w:sz w:val="22"/>
          <w:szCs w:val="22"/>
          <w:lang w:val="pt-BR"/>
        </w:rPr>
        <w:t>r</w:t>
      </w:r>
      <w:r w:rsidR="00C6601F" w:rsidRPr="001F66E2">
        <w:rPr>
          <w:sz w:val="22"/>
          <w:szCs w:val="22"/>
          <w:lang w:val="pt-BR"/>
        </w:rPr>
        <w:t>egistro do profissional no CREA (Conselho Regional de Engenharia e Agronomia) e/ou no CAU (Conselho de Arquitetura e Urbanismo), em plena validade</w:t>
      </w:r>
      <w:r w:rsidR="00C6601F" w:rsidRPr="001F66E2">
        <w:rPr>
          <w:sz w:val="22"/>
          <w:szCs w:val="22"/>
        </w:rPr>
        <w:t xml:space="preserve">; </w:t>
      </w:r>
    </w:p>
    <w:p w14:paraId="5516AD94" w14:textId="19DC2DEF" w:rsidR="001550A4" w:rsidRPr="001F66E2" w:rsidRDefault="001550A4" w:rsidP="00515E48">
      <w:pPr>
        <w:pStyle w:val="PargrafodaLista"/>
        <w:numPr>
          <w:ilvl w:val="1"/>
          <w:numId w:val="18"/>
        </w:numPr>
        <w:tabs>
          <w:tab w:val="left" w:pos="0"/>
          <w:tab w:val="left" w:pos="142"/>
        </w:tabs>
        <w:spacing w:line="360" w:lineRule="auto"/>
        <w:ind w:left="0" w:firstLine="0"/>
        <w:jc w:val="both"/>
        <w:rPr>
          <w:sz w:val="22"/>
          <w:szCs w:val="22"/>
        </w:rPr>
      </w:pPr>
      <w:r w:rsidRPr="001F66E2">
        <w:rPr>
          <w:sz w:val="22"/>
          <w:szCs w:val="22"/>
          <w:lang w:val="pt-BR"/>
        </w:rPr>
        <w:t>Atestado de Capacidade Técnica emitido por pessoa jurídica de direito público ou privado, que comprove a prestação de serviços compatíveis com o objeto deste Pregão, por prazo mínimo de 03 (três) anos.</w:t>
      </w:r>
    </w:p>
    <w:p w14:paraId="7765D0AD" w14:textId="22DEDC54" w:rsidR="00B84C93" w:rsidRPr="001F66E2" w:rsidRDefault="00307DEB" w:rsidP="00515E48">
      <w:pPr>
        <w:pStyle w:val="PargrafodaLista"/>
        <w:numPr>
          <w:ilvl w:val="0"/>
          <w:numId w:val="18"/>
        </w:numPr>
        <w:tabs>
          <w:tab w:val="left" w:pos="0"/>
        </w:tabs>
        <w:spacing w:line="360" w:lineRule="auto"/>
        <w:ind w:left="0" w:firstLine="0"/>
        <w:jc w:val="both"/>
        <w:rPr>
          <w:rFonts w:eastAsia="Calibri"/>
          <w:sz w:val="22"/>
          <w:szCs w:val="22"/>
        </w:rPr>
      </w:pPr>
      <w:r w:rsidRPr="001F66E2">
        <w:rPr>
          <w:rFonts w:eastAsia="Calibri"/>
          <w:b/>
          <w:sz w:val="22"/>
          <w:szCs w:val="22"/>
        </w:rPr>
        <w:t>ESTIMATIVAS DO VALOR DA CONTRATAÇÃO</w:t>
      </w:r>
    </w:p>
    <w:p w14:paraId="17BF50E6" w14:textId="2DAE01B0" w:rsidR="00E16204" w:rsidRPr="001F66E2" w:rsidRDefault="00D35871" w:rsidP="00515E48">
      <w:pPr>
        <w:pStyle w:val="PargrafodaLista"/>
        <w:numPr>
          <w:ilvl w:val="1"/>
          <w:numId w:val="18"/>
        </w:numPr>
        <w:tabs>
          <w:tab w:val="left" w:pos="0"/>
        </w:tabs>
        <w:spacing w:line="360" w:lineRule="auto"/>
        <w:ind w:left="0" w:firstLine="0"/>
        <w:jc w:val="both"/>
        <w:rPr>
          <w:sz w:val="22"/>
          <w:szCs w:val="22"/>
        </w:rPr>
      </w:pPr>
      <w:r w:rsidRPr="001F66E2">
        <w:rPr>
          <w:sz w:val="22"/>
          <w:szCs w:val="22"/>
        </w:rPr>
        <w:lastRenderedPageBreak/>
        <w:t>O custo estimado total da contratação é de R$</w:t>
      </w:r>
      <w:r w:rsidR="00D93F27" w:rsidRPr="001F66E2">
        <w:rPr>
          <w:sz w:val="22"/>
          <w:szCs w:val="22"/>
          <w:lang w:val="pt-BR"/>
        </w:rPr>
        <w:t xml:space="preserve"> </w:t>
      </w:r>
      <w:r w:rsidR="00BE22E6" w:rsidRPr="001F66E2">
        <w:rPr>
          <w:sz w:val="22"/>
          <w:szCs w:val="22"/>
          <w:lang w:val="pt-BR"/>
        </w:rPr>
        <w:t>97.156,54 (noventa e sete mil e cento e quinhentas e seis reais e cinquenta e quatro centavos</w:t>
      </w:r>
      <w:r w:rsidRPr="001F66E2">
        <w:rPr>
          <w:sz w:val="22"/>
          <w:szCs w:val="22"/>
        </w:rPr>
        <w:t>), conforme custos unitários apostos na tabela acima.</w:t>
      </w:r>
      <w:r w:rsidR="00E16204" w:rsidRPr="001F66E2">
        <w:rPr>
          <w:sz w:val="22"/>
          <w:szCs w:val="22"/>
        </w:rPr>
        <w:t xml:space="preserve"> </w:t>
      </w:r>
    </w:p>
    <w:p w14:paraId="7BBCF9CD" w14:textId="77777777" w:rsidR="00844D73" w:rsidRPr="001F66E2" w:rsidRDefault="001A27B9" w:rsidP="00515E48">
      <w:pPr>
        <w:pStyle w:val="PargrafodaLista"/>
        <w:numPr>
          <w:ilvl w:val="0"/>
          <w:numId w:val="18"/>
        </w:numPr>
        <w:tabs>
          <w:tab w:val="left" w:pos="0"/>
          <w:tab w:val="left" w:pos="142"/>
        </w:tabs>
        <w:spacing w:line="360" w:lineRule="auto"/>
        <w:ind w:left="0" w:firstLine="0"/>
        <w:jc w:val="both"/>
        <w:rPr>
          <w:rFonts w:eastAsia="Calibri"/>
          <w:b/>
          <w:sz w:val="22"/>
          <w:szCs w:val="22"/>
        </w:rPr>
      </w:pPr>
      <w:r w:rsidRPr="001F66E2">
        <w:rPr>
          <w:b/>
          <w:sz w:val="22"/>
          <w:szCs w:val="22"/>
        </w:rPr>
        <w:t xml:space="preserve">ADEQUAÇÃO ORÇAMENTÁRIA </w:t>
      </w:r>
    </w:p>
    <w:p w14:paraId="6146F4FB" w14:textId="21F9AC02" w:rsidR="001A27B9" w:rsidRPr="001F66E2" w:rsidRDefault="00185AEB" w:rsidP="00515E48">
      <w:pPr>
        <w:pStyle w:val="PargrafodaLista"/>
        <w:numPr>
          <w:ilvl w:val="2"/>
          <w:numId w:val="18"/>
        </w:numPr>
        <w:tabs>
          <w:tab w:val="left" w:pos="0"/>
          <w:tab w:val="left" w:pos="142"/>
        </w:tabs>
        <w:spacing w:line="360" w:lineRule="auto"/>
        <w:ind w:left="0" w:firstLine="0"/>
        <w:jc w:val="both"/>
        <w:rPr>
          <w:rFonts w:eastAsia="Calibri"/>
          <w:b/>
          <w:sz w:val="22"/>
          <w:szCs w:val="22"/>
        </w:rPr>
      </w:pPr>
      <w:r w:rsidRPr="001F66E2">
        <w:rPr>
          <w:rFonts w:eastAsia="Calibri"/>
          <w:sz w:val="22"/>
          <w:szCs w:val="22"/>
          <w:lang w:val="pt-BR"/>
        </w:rPr>
        <w:t>É dispensada a certificação de dotação orçamentária nos Processos Licitatórios para Registro de Preços, nos termos do art. 17 do Decreto Municipal nº 664/2024, devendo ser informada somente na formalização do contrato ou outro instrumento hábil</w:t>
      </w:r>
    </w:p>
    <w:p w14:paraId="2483E753" w14:textId="6183B92F" w:rsidR="005B4A7B" w:rsidRPr="001F66E2" w:rsidRDefault="007168CB" w:rsidP="00515E48">
      <w:pPr>
        <w:tabs>
          <w:tab w:val="left" w:pos="0"/>
          <w:tab w:val="left" w:pos="142"/>
        </w:tabs>
        <w:spacing w:line="360" w:lineRule="auto"/>
        <w:jc w:val="both"/>
        <w:rPr>
          <w:i/>
          <w:iCs/>
          <w:color w:val="000000" w:themeColor="text1"/>
          <w:sz w:val="22"/>
          <w:szCs w:val="22"/>
        </w:rPr>
      </w:pPr>
      <w:r w:rsidRPr="001F66E2">
        <w:rPr>
          <w:rFonts w:eastAsia="Calibri"/>
          <w:sz w:val="22"/>
          <w:szCs w:val="22"/>
        </w:rPr>
        <w:t>10.2</w:t>
      </w:r>
      <w:r w:rsidRPr="001F66E2">
        <w:rPr>
          <w:rFonts w:eastAsia="Calibri"/>
          <w:sz w:val="22"/>
          <w:szCs w:val="22"/>
        </w:rPr>
        <w:tab/>
      </w:r>
      <w:r w:rsidR="001A27B9" w:rsidRPr="001F66E2">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1F66E2">
        <w:rPr>
          <w:rFonts w:eastAsia="Calibri"/>
          <w:sz w:val="22"/>
          <w:szCs w:val="22"/>
        </w:rPr>
        <w:t xml:space="preserve"> </w:t>
      </w:r>
    </w:p>
    <w:sectPr w:rsidR="005B4A7B" w:rsidRPr="001F66E2" w:rsidSect="00237F43">
      <w:headerReference w:type="default" r:id="rId8"/>
      <w:footerReference w:type="default" r:id="rId9"/>
      <w:pgSz w:w="11907" w:h="16840" w:code="9"/>
      <w:pgMar w:top="1540" w:right="1134" w:bottom="709" w:left="1134" w:header="284"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7A60" w14:textId="77777777" w:rsidR="008A40EF" w:rsidRDefault="008A40EF">
      <w:r>
        <w:separator/>
      </w:r>
    </w:p>
  </w:endnote>
  <w:endnote w:type="continuationSeparator" w:id="0">
    <w:p w14:paraId="769C3286" w14:textId="77777777" w:rsidR="008A40EF" w:rsidRDefault="008A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4E3E4B3" w:rsidR="00DA307E" w:rsidRDefault="00237F43" w:rsidP="00DA307E">
    <w:pPr>
      <w:tabs>
        <w:tab w:val="center" w:pos="4252"/>
        <w:tab w:val="right" w:pos="8504"/>
      </w:tabs>
    </w:pPr>
    <w:r>
      <w:rPr>
        <w:noProof/>
      </w:rPr>
      <w:drawing>
        <wp:inline distT="0" distB="0" distL="0" distR="0" wp14:anchorId="35C960A6" wp14:editId="098D8DEF">
          <wp:extent cx="5760085" cy="659730"/>
          <wp:effectExtent l="0" t="0" r="0" b="762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7B2E" w14:textId="77777777" w:rsidR="008A40EF" w:rsidRDefault="008A40EF">
      <w:r>
        <w:separator/>
      </w:r>
    </w:p>
  </w:footnote>
  <w:footnote w:type="continuationSeparator" w:id="0">
    <w:p w14:paraId="6241942B" w14:textId="77777777" w:rsidR="008A40EF" w:rsidRDefault="008A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A8E3" w14:textId="5B9C115E" w:rsidR="00237F43" w:rsidRDefault="00237F43">
    <w:pPr>
      <w:pStyle w:val="Cabealho"/>
    </w:pPr>
    <w:r>
      <w:rPr>
        <w:rFonts w:ascii="Monotype Corsiva" w:hAnsi="Monotype Corsiva" w:cs="Monotype Corsiva"/>
        <w:b/>
        <w:bCs/>
        <w:noProof/>
        <w:sz w:val="16"/>
        <w:szCs w:val="16"/>
      </w:rPr>
      <w:drawing>
        <wp:inline distT="0" distB="0" distL="0" distR="0" wp14:anchorId="0D531EF0" wp14:editId="48D6A438">
          <wp:extent cx="5759450" cy="722994"/>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9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65107B"/>
    <w:multiLevelType w:val="multilevel"/>
    <w:tmpl w:val="C55CD742"/>
    <w:lvl w:ilvl="0">
      <w:start w:val="1"/>
      <w:numFmt w:val="decimal"/>
      <w:lvlText w:val="%1"/>
      <w:lvlJc w:val="left"/>
      <w:pPr>
        <w:ind w:left="1425" w:hanging="1425"/>
      </w:pPr>
      <w:rPr>
        <w:rFonts w:hint="default"/>
      </w:rPr>
    </w:lvl>
    <w:lvl w:ilvl="1">
      <w:start w:val="500"/>
      <w:numFmt w:val="decimal"/>
      <w:lvlText w:val="%1.%2"/>
      <w:lvlJc w:val="left"/>
      <w:pPr>
        <w:ind w:left="1425" w:hanging="1425"/>
      </w:pPr>
      <w:rPr>
        <w:rFonts w:hint="default"/>
      </w:rPr>
    </w:lvl>
    <w:lvl w:ilvl="2">
      <w:numFmt w:val="decimalZero"/>
      <w:lvlText w:val="%1.%2.%3.0"/>
      <w:lvlJc w:val="left"/>
      <w:pPr>
        <w:ind w:left="1425" w:hanging="1425"/>
      </w:pPr>
      <w:rPr>
        <w:rFonts w:hint="default"/>
      </w:rPr>
    </w:lvl>
    <w:lvl w:ilvl="3">
      <w:start w:val="1"/>
      <w:numFmt w:val="decimalZero"/>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AE2DFD"/>
    <w:multiLevelType w:val="multilevel"/>
    <w:tmpl w:val="CE1CBC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5DA83CDC"/>
    <w:multiLevelType w:val="hybridMultilevel"/>
    <w:tmpl w:val="13448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0"/>
  </w:num>
  <w:num w:numId="2">
    <w:abstractNumId w:val="0"/>
  </w:num>
  <w:num w:numId="3">
    <w:abstractNumId w:val="19"/>
  </w:num>
  <w:num w:numId="4">
    <w:abstractNumId w:val="7"/>
  </w:num>
  <w:num w:numId="5">
    <w:abstractNumId w:val="18"/>
  </w:num>
  <w:num w:numId="6">
    <w:abstractNumId w:val="17"/>
  </w:num>
  <w:num w:numId="7">
    <w:abstractNumId w:val="20"/>
  </w:num>
  <w:num w:numId="8">
    <w:abstractNumId w:val="2"/>
  </w:num>
  <w:num w:numId="9">
    <w:abstractNumId w:val="11"/>
  </w:num>
  <w:num w:numId="10">
    <w:abstractNumId w:val="12"/>
  </w:num>
  <w:num w:numId="11">
    <w:abstractNumId w:val="6"/>
  </w:num>
  <w:num w:numId="12">
    <w:abstractNumId w:val="5"/>
  </w:num>
  <w:num w:numId="13">
    <w:abstractNumId w:val="8"/>
  </w:num>
  <w:num w:numId="14">
    <w:abstractNumId w:val="15"/>
  </w:num>
  <w:num w:numId="15">
    <w:abstractNumId w:val="3"/>
  </w:num>
  <w:num w:numId="16">
    <w:abstractNumId w:val="9"/>
  </w:num>
  <w:num w:numId="17">
    <w:abstractNumId w:val="13"/>
  </w:num>
  <w:num w:numId="18">
    <w:abstractNumId w:val="14"/>
  </w:num>
  <w:num w:numId="19">
    <w:abstractNumId w:val="4"/>
  </w:num>
  <w:num w:numId="20">
    <w:abstractNumId w:val="16"/>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5F1"/>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819"/>
    <w:rsid w:val="00031CBA"/>
    <w:rsid w:val="00031D34"/>
    <w:rsid w:val="00031F96"/>
    <w:rsid w:val="000322A5"/>
    <w:rsid w:val="0003314E"/>
    <w:rsid w:val="00033414"/>
    <w:rsid w:val="00035539"/>
    <w:rsid w:val="00035D26"/>
    <w:rsid w:val="000400A5"/>
    <w:rsid w:val="000428F9"/>
    <w:rsid w:val="0004466A"/>
    <w:rsid w:val="00045EB9"/>
    <w:rsid w:val="00047017"/>
    <w:rsid w:val="00050473"/>
    <w:rsid w:val="00050E3C"/>
    <w:rsid w:val="000526E3"/>
    <w:rsid w:val="000574BE"/>
    <w:rsid w:val="0005767C"/>
    <w:rsid w:val="00057994"/>
    <w:rsid w:val="00060613"/>
    <w:rsid w:val="00060EBE"/>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4FFC"/>
    <w:rsid w:val="0009505B"/>
    <w:rsid w:val="00096C5C"/>
    <w:rsid w:val="000A21C6"/>
    <w:rsid w:val="000A247F"/>
    <w:rsid w:val="000A3574"/>
    <w:rsid w:val="000A6D45"/>
    <w:rsid w:val="000B0A8D"/>
    <w:rsid w:val="000B16F7"/>
    <w:rsid w:val="000B3869"/>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17F83"/>
    <w:rsid w:val="00121049"/>
    <w:rsid w:val="0012282A"/>
    <w:rsid w:val="00123F73"/>
    <w:rsid w:val="00125541"/>
    <w:rsid w:val="00125D4D"/>
    <w:rsid w:val="00126118"/>
    <w:rsid w:val="00126FFF"/>
    <w:rsid w:val="001271C7"/>
    <w:rsid w:val="001274C6"/>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6D6F"/>
    <w:rsid w:val="00147867"/>
    <w:rsid w:val="00153098"/>
    <w:rsid w:val="001535E9"/>
    <w:rsid w:val="00154A06"/>
    <w:rsid w:val="001550A4"/>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AEB"/>
    <w:rsid w:val="00185BF4"/>
    <w:rsid w:val="0018649C"/>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72E"/>
    <w:rsid w:val="001B7D82"/>
    <w:rsid w:val="001C1D04"/>
    <w:rsid w:val="001C3198"/>
    <w:rsid w:val="001C71ED"/>
    <w:rsid w:val="001D1A3E"/>
    <w:rsid w:val="001D27AD"/>
    <w:rsid w:val="001D31CD"/>
    <w:rsid w:val="001D3482"/>
    <w:rsid w:val="001D3E97"/>
    <w:rsid w:val="001D424D"/>
    <w:rsid w:val="001D453E"/>
    <w:rsid w:val="001D5BDC"/>
    <w:rsid w:val="001D655E"/>
    <w:rsid w:val="001D72F2"/>
    <w:rsid w:val="001D7951"/>
    <w:rsid w:val="001E4343"/>
    <w:rsid w:val="001E514F"/>
    <w:rsid w:val="001E633E"/>
    <w:rsid w:val="001E6729"/>
    <w:rsid w:val="001E7B32"/>
    <w:rsid w:val="001E7C5D"/>
    <w:rsid w:val="001F66E2"/>
    <w:rsid w:val="001F6802"/>
    <w:rsid w:val="001F6A10"/>
    <w:rsid w:val="001F6F7F"/>
    <w:rsid w:val="001F79E8"/>
    <w:rsid w:val="002001AC"/>
    <w:rsid w:val="002002F4"/>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115"/>
    <w:rsid w:val="00233C1F"/>
    <w:rsid w:val="00235617"/>
    <w:rsid w:val="00235890"/>
    <w:rsid w:val="0023715B"/>
    <w:rsid w:val="00237D4F"/>
    <w:rsid w:val="00237F43"/>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D89"/>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2F7"/>
    <w:rsid w:val="002B5C89"/>
    <w:rsid w:val="002B668A"/>
    <w:rsid w:val="002C016C"/>
    <w:rsid w:val="002C1BF2"/>
    <w:rsid w:val="002C1C10"/>
    <w:rsid w:val="002C2217"/>
    <w:rsid w:val="002C2670"/>
    <w:rsid w:val="002C3D05"/>
    <w:rsid w:val="002C3DB0"/>
    <w:rsid w:val="002C3FCD"/>
    <w:rsid w:val="002C4562"/>
    <w:rsid w:val="002C5628"/>
    <w:rsid w:val="002C5A44"/>
    <w:rsid w:val="002C72FF"/>
    <w:rsid w:val="002D0012"/>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3F1"/>
    <w:rsid w:val="002E6AF5"/>
    <w:rsid w:val="002E7C58"/>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2708B"/>
    <w:rsid w:val="00333DC3"/>
    <w:rsid w:val="00334767"/>
    <w:rsid w:val="00334F16"/>
    <w:rsid w:val="00335427"/>
    <w:rsid w:val="003359EE"/>
    <w:rsid w:val="003429AE"/>
    <w:rsid w:val="00343154"/>
    <w:rsid w:val="00344E16"/>
    <w:rsid w:val="003457DA"/>
    <w:rsid w:val="00346652"/>
    <w:rsid w:val="00347DF3"/>
    <w:rsid w:val="003502F3"/>
    <w:rsid w:val="00350D60"/>
    <w:rsid w:val="003521AF"/>
    <w:rsid w:val="00353138"/>
    <w:rsid w:val="003541A6"/>
    <w:rsid w:val="00354469"/>
    <w:rsid w:val="003605DF"/>
    <w:rsid w:val="00361381"/>
    <w:rsid w:val="00362688"/>
    <w:rsid w:val="00362C9A"/>
    <w:rsid w:val="003648A3"/>
    <w:rsid w:val="0036580E"/>
    <w:rsid w:val="00366C86"/>
    <w:rsid w:val="00375ED5"/>
    <w:rsid w:val="003778AB"/>
    <w:rsid w:val="003779AF"/>
    <w:rsid w:val="003809F4"/>
    <w:rsid w:val="00382A0E"/>
    <w:rsid w:val="00383AC2"/>
    <w:rsid w:val="00384EDE"/>
    <w:rsid w:val="00384FCC"/>
    <w:rsid w:val="00385164"/>
    <w:rsid w:val="00385B82"/>
    <w:rsid w:val="00385EAE"/>
    <w:rsid w:val="0038644A"/>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0557"/>
    <w:rsid w:val="003C3895"/>
    <w:rsid w:val="003C3ACB"/>
    <w:rsid w:val="003C3CBA"/>
    <w:rsid w:val="003C437E"/>
    <w:rsid w:val="003C48F5"/>
    <w:rsid w:val="003C4CA0"/>
    <w:rsid w:val="003C6CEC"/>
    <w:rsid w:val="003C6D31"/>
    <w:rsid w:val="003D392B"/>
    <w:rsid w:val="003D49CF"/>
    <w:rsid w:val="003D67F9"/>
    <w:rsid w:val="003E15BB"/>
    <w:rsid w:val="003E421E"/>
    <w:rsid w:val="003E6101"/>
    <w:rsid w:val="003E7B48"/>
    <w:rsid w:val="003E7D3A"/>
    <w:rsid w:val="003F1718"/>
    <w:rsid w:val="003F27BE"/>
    <w:rsid w:val="003F424A"/>
    <w:rsid w:val="003F4841"/>
    <w:rsid w:val="003F508E"/>
    <w:rsid w:val="00400A0C"/>
    <w:rsid w:val="00400F53"/>
    <w:rsid w:val="00401178"/>
    <w:rsid w:val="00402EA2"/>
    <w:rsid w:val="00403660"/>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00F7"/>
    <w:rsid w:val="00461A74"/>
    <w:rsid w:val="00461F61"/>
    <w:rsid w:val="0046387B"/>
    <w:rsid w:val="0046516B"/>
    <w:rsid w:val="0046721C"/>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6CD8"/>
    <w:rsid w:val="004A7EC8"/>
    <w:rsid w:val="004B26CD"/>
    <w:rsid w:val="004B4DDF"/>
    <w:rsid w:val="004B5B5D"/>
    <w:rsid w:val="004C0411"/>
    <w:rsid w:val="004C13FA"/>
    <w:rsid w:val="004C235A"/>
    <w:rsid w:val="004C2960"/>
    <w:rsid w:val="004C3EF7"/>
    <w:rsid w:val="004C4190"/>
    <w:rsid w:val="004C442A"/>
    <w:rsid w:val="004C5724"/>
    <w:rsid w:val="004C7489"/>
    <w:rsid w:val="004D7720"/>
    <w:rsid w:val="004E1A20"/>
    <w:rsid w:val="004E2A41"/>
    <w:rsid w:val="004E41B4"/>
    <w:rsid w:val="004E4D0F"/>
    <w:rsid w:val="004E57A3"/>
    <w:rsid w:val="004E5EFD"/>
    <w:rsid w:val="004E6732"/>
    <w:rsid w:val="004E71E9"/>
    <w:rsid w:val="004F14BA"/>
    <w:rsid w:val="004F1EAD"/>
    <w:rsid w:val="004F27C1"/>
    <w:rsid w:val="004F55DC"/>
    <w:rsid w:val="004F579F"/>
    <w:rsid w:val="004F580A"/>
    <w:rsid w:val="004F75D6"/>
    <w:rsid w:val="00500400"/>
    <w:rsid w:val="005039CC"/>
    <w:rsid w:val="005057BA"/>
    <w:rsid w:val="005067A9"/>
    <w:rsid w:val="00510E98"/>
    <w:rsid w:val="0051129F"/>
    <w:rsid w:val="005132BC"/>
    <w:rsid w:val="005140A6"/>
    <w:rsid w:val="00515032"/>
    <w:rsid w:val="00515BF6"/>
    <w:rsid w:val="00515D3A"/>
    <w:rsid w:val="00515E48"/>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2A8B"/>
    <w:rsid w:val="00595815"/>
    <w:rsid w:val="00595F7D"/>
    <w:rsid w:val="005A0EF2"/>
    <w:rsid w:val="005A0F57"/>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6B36"/>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4F3C"/>
    <w:rsid w:val="00607767"/>
    <w:rsid w:val="00607CEC"/>
    <w:rsid w:val="00610B54"/>
    <w:rsid w:val="006149F2"/>
    <w:rsid w:val="00614F52"/>
    <w:rsid w:val="0061586F"/>
    <w:rsid w:val="006160A7"/>
    <w:rsid w:val="00621E82"/>
    <w:rsid w:val="0062314E"/>
    <w:rsid w:val="006257A5"/>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0397"/>
    <w:rsid w:val="00671163"/>
    <w:rsid w:val="00672B4B"/>
    <w:rsid w:val="006734B6"/>
    <w:rsid w:val="00676025"/>
    <w:rsid w:val="00676B66"/>
    <w:rsid w:val="00676E6A"/>
    <w:rsid w:val="00680D4A"/>
    <w:rsid w:val="00681C9A"/>
    <w:rsid w:val="006830A7"/>
    <w:rsid w:val="0068462E"/>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B162E"/>
    <w:rsid w:val="006B1E2A"/>
    <w:rsid w:val="006B2D31"/>
    <w:rsid w:val="006B3F51"/>
    <w:rsid w:val="006B4DA2"/>
    <w:rsid w:val="006B540B"/>
    <w:rsid w:val="006B55BC"/>
    <w:rsid w:val="006B66F4"/>
    <w:rsid w:val="006B722F"/>
    <w:rsid w:val="006C0842"/>
    <w:rsid w:val="006C1AE7"/>
    <w:rsid w:val="006C3B24"/>
    <w:rsid w:val="006C3B7C"/>
    <w:rsid w:val="006C5B6B"/>
    <w:rsid w:val="006C5D08"/>
    <w:rsid w:val="006C64FB"/>
    <w:rsid w:val="006D5671"/>
    <w:rsid w:val="006D60C5"/>
    <w:rsid w:val="006D7BB6"/>
    <w:rsid w:val="006E0661"/>
    <w:rsid w:val="006E268B"/>
    <w:rsid w:val="006E271E"/>
    <w:rsid w:val="006E28A2"/>
    <w:rsid w:val="006E3CDA"/>
    <w:rsid w:val="006E617D"/>
    <w:rsid w:val="006E759C"/>
    <w:rsid w:val="006F0D27"/>
    <w:rsid w:val="006F3DD6"/>
    <w:rsid w:val="006F4EC3"/>
    <w:rsid w:val="007002F8"/>
    <w:rsid w:val="00701063"/>
    <w:rsid w:val="00701E36"/>
    <w:rsid w:val="007068EF"/>
    <w:rsid w:val="007118A0"/>
    <w:rsid w:val="007135C1"/>
    <w:rsid w:val="00713A45"/>
    <w:rsid w:val="007144AE"/>
    <w:rsid w:val="00714EB0"/>
    <w:rsid w:val="00715636"/>
    <w:rsid w:val="00715818"/>
    <w:rsid w:val="00715BD2"/>
    <w:rsid w:val="007161DB"/>
    <w:rsid w:val="0071628A"/>
    <w:rsid w:val="007168CB"/>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1E7D"/>
    <w:rsid w:val="007421B5"/>
    <w:rsid w:val="0074285A"/>
    <w:rsid w:val="0074503A"/>
    <w:rsid w:val="00750867"/>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877F3"/>
    <w:rsid w:val="0079051E"/>
    <w:rsid w:val="00791F68"/>
    <w:rsid w:val="0079224F"/>
    <w:rsid w:val="00797332"/>
    <w:rsid w:val="007975F9"/>
    <w:rsid w:val="00797765"/>
    <w:rsid w:val="007A1ECE"/>
    <w:rsid w:val="007A24DE"/>
    <w:rsid w:val="007A3D76"/>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4FE7"/>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364"/>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40EF"/>
    <w:rsid w:val="008A58B5"/>
    <w:rsid w:val="008A6397"/>
    <w:rsid w:val="008B0F34"/>
    <w:rsid w:val="008B1350"/>
    <w:rsid w:val="008B2553"/>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489A"/>
    <w:rsid w:val="009276CE"/>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0F5E"/>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C65CB"/>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42C8"/>
    <w:rsid w:val="00A05370"/>
    <w:rsid w:val="00A05395"/>
    <w:rsid w:val="00A0570F"/>
    <w:rsid w:val="00A05BC3"/>
    <w:rsid w:val="00A06929"/>
    <w:rsid w:val="00A10F36"/>
    <w:rsid w:val="00A11A07"/>
    <w:rsid w:val="00A13224"/>
    <w:rsid w:val="00A15061"/>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3CCD"/>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6B6"/>
    <w:rsid w:val="00AC5F40"/>
    <w:rsid w:val="00AC6506"/>
    <w:rsid w:val="00AD0753"/>
    <w:rsid w:val="00AD0B55"/>
    <w:rsid w:val="00AD1A52"/>
    <w:rsid w:val="00AD1BE5"/>
    <w:rsid w:val="00AD4533"/>
    <w:rsid w:val="00AD66A0"/>
    <w:rsid w:val="00AD74DC"/>
    <w:rsid w:val="00AE10B4"/>
    <w:rsid w:val="00AE1736"/>
    <w:rsid w:val="00AE18B9"/>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5FA0"/>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207"/>
    <w:rsid w:val="00B95AD2"/>
    <w:rsid w:val="00B95DDE"/>
    <w:rsid w:val="00B9741D"/>
    <w:rsid w:val="00BA1355"/>
    <w:rsid w:val="00BA321C"/>
    <w:rsid w:val="00BA5EAD"/>
    <w:rsid w:val="00BA60B6"/>
    <w:rsid w:val="00BA7744"/>
    <w:rsid w:val="00BA7F57"/>
    <w:rsid w:val="00BB1EB4"/>
    <w:rsid w:val="00BB1F0C"/>
    <w:rsid w:val="00BB2094"/>
    <w:rsid w:val="00BB36F0"/>
    <w:rsid w:val="00BC112E"/>
    <w:rsid w:val="00BC2DBE"/>
    <w:rsid w:val="00BC63AF"/>
    <w:rsid w:val="00BD1C22"/>
    <w:rsid w:val="00BD35BC"/>
    <w:rsid w:val="00BD385E"/>
    <w:rsid w:val="00BE0230"/>
    <w:rsid w:val="00BE05DE"/>
    <w:rsid w:val="00BE22E6"/>
    <w:rsid w:val="00BE3898"/>
    <w:rsid w:val="00BE5644"/>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61D1"/>
    <w:rsid w:val="00C17636"/>
    <w:rsid w:val="00C2095C"/>
    <w:rsid w:val="00C2163A"/>
    <w:rsid w:val="00C21FFF"/>
    <w:rsid w:val="00C239E5"/>
    <w:rsid w:val="00C25FDD"/>
    <w:rsid w:val="00C26479"/>
    <w:rsid w:val="00C2660F"/>
    <w:rsid w:val="00C26F80"/>
    <w:rsid w:val="00C313AE"/>
    <w:rsid w:val="00C317A9"/>
    <w:rsid w:val="00C32D2C"/>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153"/>
    <w:rsid w:val="00C56709"/>
    <w:rsid w:val="00C56A46"/>
    <w:rsid w:val="00C61E65"/>
    <w:rsid w:val="00C63D60"/>
    <w:rsid w:val="00C63EF1"/>
    <w:rsid w:val="00C63F29"/>
    <w:rsid w:val="00C65E6E"/>
    <w:rsid w:val="00C65F79"/>
    <w:rsid w:val="00C6601F"/>
    <w:rsid w:val="00C70F58"/>
    <w:rsid w:val="00C721A3"/>
    <w:rsid w:val="00C73179"/>
    <w:rsid w:val="00C73797"/>
    <w:rsid w:val="00C75A5F"/>
    <w:rsid w:val="00C76E37"/>
    <w:rsid w:val="00C82BAF"/>
    <w:rsid w:val="00C85345"/>
    <w:rsid w:val="00C901E8"/>
    <w:rsid w:val="00C91878"/>
    <w:rsid w:val="00C931DA"/>
    <w:rsid w:val="00C9372B"/>
    <w:rsid w:val="00C93AC2"/>
    <w:rsid w:val="00C94242"/>
    <w:rsid w:val="00C94CFC"/>
    <w:rsid w:val="00C9750E"/>
    <w:rsid w:val="00CA0300"/>
    <w:rsid w:val="00CA620A"/>
    <w:rsid w:val="00CA6B85"/>
    <w:rsid w:val="00CB06DD"/>
    <w:rsid w:val="00CB15B5"/>
    <w:rsid w:val="00CB18CD"/>
    <w:rsid w:val="00CB1A89"/>
    <w:rsid w:val="00CB24D2"/>
    <w:rsid w:val="00CB26EC"/>
    <w:rsid w:val="00CB34E0"/>
    <w:rsid w:val="00CB73C5"/>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03C"/>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FCB"/>
    <w:rsid w:val="00D264C4"/>
    <w:rsid w:val="00D2667E"/>
    <w:rsid w:val="00D26CBA"/>
    <w:rsid w:val="00D33C08"/>
    <w:rsid w:val="00D34D5C"/>
    <w:rsid w:val="00D34FFC"/>
    <w:rsid w:val="00D35871"/>
    <w:rsid w:val="00D363F5"/>
    <w:rsid w:val="00D3715C"/>
    <w:rsid w:val="00D40149"/>
    <w:rsid w:val="00D42661"/>
    <w:rsid w:val="00D42A89"/>
    <w:rsid w:val="00D432AA"/>
    <w:rsid w:val="00D46FAD"/>
    <w:rsid w:val="00D51DAF"/>
    <w:rsid w:val="00D534A5"/>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3F27"/>
    <w:rsid w:val="00D946B1"/>
    <w:rsid w:val="00DA1922"/>
    <w:rsid w:val="00DA19BF"/>
    <w:rsid w:val="00DA2C0C"/>
    <w:rsid w:val="00DA307E"/>
    <w:rsid w:val="00DA4C2E"/>
    <w:rsid w:val="00DA4FB2"/>
    <w:rsid w:val="00DA53D3"/>
    <w:rsid w:val="00DA62FF"/>
    <w:rsid w:val="00DA7D93"/>
    <w:rsid w:val="00DA7D9C"/>
    <w:rsid w:val="00DB13C5"/>
    <w:rsid w:val="00DB1639"/>
    <w:rsid w:val="00DB2095"/>
    <w:rsid w:val="00DB3278"/>
    <w:rsid w:val="00DC0410"/>
    <w:rsid w:val="00DC0ED5"/>
    <w:rsid w:val="00DC1D9E"/>
    <w:rsid w:val="00DC494D"/>
    <w:rsid w:val="00DC4A23"/>
    <w:rsid w:val="00DC4DC1"/>
    <w:rsid w:val="00DC4F35"/>
    <w:rsid w:val="00DC7184"/>
    <w:rsid w:val="00DC7E26"/>
    <w:rsid w:val="00DD0922"/>
    <w:rsid w:val="00DD38C1"/>
    <w:rsid w:val="00DD529D"/>
    <w:rsid w:val="00DD62BC"/>
    <w:rsid w:val="00DD642F"/>
    <w:rsid w:val="00DD6B8B"/>
    <w:rsid w:val="00DE1052"/>
    <w:rsid w:val="00DE5068"/>
    <w:rsid w:val="00DE5DEA"/>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4FB"/>
    <w:rsid w:val="00E16B0E"/>
    <w:rsid w:val="00E16B42"/>
    <w:rsid w:val="00E21A05"/>
    <w:rsid w:val="00E22035"/>
    <w:rsid w:val="00E24698"/>
    <w:rsid w:val="00E25B6F"/>
    <w:rsid w:val="00E25DD3"/>
    <w:rsid w:val="00E2708F"/>
    <w:rsid w:val="00E2716E"/>
    <w:rsid w:val="00E278BF"/>
    <w:rsid w:val="00E27F67"/>
    <w:rsid w:val="00E30823"/>
    <w:rsid w:val="00E352D8"/>
    <w:rsid w:val="00E356A2"/>
    <w:rsid w:val="00E4080A"/>
    <w:rsid w:val="00E448D1"/>
    <w:rsid w:val="00E452BB"/>
    <w:rsid w:val="00E4550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C39"/>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E72E3"/>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1BF0"/>
    <w:rsid w:val="00F636E3"/>
    <w:rsid w:val="00F64B7C"/>
    <w:rsid w:val="00F67E86"/>
    <w:rsid w:val="00F71094"/>
    <w:rsid w:val="00F71885"/>
    <w:rsid w:val="00F77F4F"/>
    <w:rsid w:val="00F77FB5"/>
    <w:rsid w:val="00F81270"/>
    <w:rsid w:val="00F81CAC"/>
    <w:rsid w:val="00F820A3"/>
    <w:rsid w:val="00F835BF"/>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C52B4"/>
    <w:rsid w:val="00FD224C"/>
    <w:rsid w:val="00FD3676"/>
    <w:rsid w:val="00FD4084"/>
    <w:rsid w:val="00FD44FD"/>
    <w:rsid w:val="00FD450C"/>
    <w:rsid w:val="00FD7E3C"/>
    <w:rsid w:val="00FE0210"/>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09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2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CBAA-4FC5-4707-BE4F-906C027F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3933</Words>
  <Characters>21816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25698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cp:revision>
  <cp:lastPrinted>2025-04-14T14:34:00Z</cp:lastPrinted>
  <dcterms:created xsi:type="dcterms:W3CDTF">2025-04-14T14:07:00Z</dcterms:created>
  <dcterms:modified xsi:type="dcterms:W3CDTF">2025-04-14T14:34:00Z</dcterms:modified>
</cp:coreProperties>
</file>