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3D0D4426" w:rsidR="00C33E85" w:rsidRDefault="0096749A" w:rsidP="00F41DEC">
      <w:pPr>
        <w:tabs>
          <w:tab w:val="left" w:pos="0"/>
          <w:tab w:val="left" w:pos="142"/>
        </w:tabs>
        <w:spacing w:line="360" w:lineRule="auto"/>
        <w:jc w:val="center"/>
        <w:rPr>
          <w:b/>
          <w:sz w:val="22"/>
          <w:szCs w:val="22"/>
        </w:rPr>
      </w:pPr>
      <w:bookmarkStart w:id="0" w:name="_Hlk82471863"/>
      <w:r>
        <w:rPr>
          <w:b/>
          <w:sz w:val="22"/>
          <w:szCs w:val="22"/>
        </w:rPr>
        <w:t xml:space="preserve">ANEXO I </w:t>
      </w:r>
      <w:r w:rsidR="00C33E85" w:rsidRPr="00F61118">
        <w:rPr>
          <w:b/>
          <w:sz w:val="22"/>
          <w:szCs w:val="22"/>
        </w:rPr>
        <w:t>TERMO DE REFERÊNCIA</w:t>
      </w:r>
    </w:p>
    <w:p w14:paraId="40FC41AB" w14:textId="77777777" w:rsidR="0096749A" w:rsidRDefault="0096749A" w:rsidP="00F41DEC">
      <w:pPr>
        <w:tabs>
          <w:tab w:val="left" w:pos="0"/>
          <w:tab w:val="left" w:pos="142"/>
        </w:tabs>
        <w:spacing w:line="360" w:lineRule="auto"/>
        <w:jc w:val="center"/>
        <w:rPr>
          <w:b/>
          <w:sz w:val="22"/>
          <w:szCs w:val="22"/>
        </w:rPr>
      </w:pPr>
    </w:p>
    <w:p w14:paraId="650E1195" w14:textId="0CE8FD5A" w:rsidR="0096749A" w:rsidRDefault="0096749A" w:rsidP="0096749A">
      <w:pPr>
        <w:tabs>
          <w:tab w:val="left" w:pos="0"/>
          <w:tab w:val="left" w:pos="142"/>
        </w:tabs>
        <w:spacing w:line="360" w:lineRule="auto"/>
        <w:rPr>
          <w:b/>
          <w:sz w:val="22"/>
          <w:szCs w:val="22"/>
        </w:rPr>
      </w:pPr>
      <w:r>
        <w:rPr>
          <w:b/>
          <w:sz w:val="22"/>
          <w:szCs w:val="22"/>
        </w:rPr>
        <w:t xml:space="preserve">PROCESSO LICITATÓRIO Nº </w:t>
      </w:r>
      <w:r w:rsidR="007333F1">
        <w:rPr>
          <w:b/>
          <w:sz w:val="22"/>
          <w:szCs w:val="22"/>
        </w:rPr>
        <w:t>052</w:t>
      </w:r>
      <w:r>
        <w:rPr>
          <w:b/>
          <w:sz w:val="22"/>
          <w:szCs w:val="22"/>
        </w:rPr>
        <w:t>/2024</w:t>
      </w:r>
    </w:p>
    <w:p w14:paraId="1C11D1F9" w14:textId="694C65FC" w:rsidR="0096749A" w:rsidRPr="00F61118" w:rsidRDefault="0096749A" w:rsidP="0096749A">
      <w:pPr>
        <w:tabs>
          <w:tab w:val="left" w:pos="0"/>
          <w:tab w:val="left" w:pos="142"/>
        </w:tabs>
        <w:spacing w:line="360" w:lineRule="auto"/>
        <w:rPr>
          <w:b/>
          <w:sz w:val="22"/>
          <w:szCs w:val="22"/>
        </w:rPr>
      </w:pPr>
      <w:r>
        <w:rPr>
          <w:b/>
          <w:sz w:val="22"/>
          <w:szCs w:val="22"/>
        </w:rPr>
        <w:t>PREGÃO ELETRONICO Nº 0</w:t>
      </w:r>
      <w:r w:rsidR="007333F1">
        <w:rPr>
          <w:b/>
          <w:sz w:val="22"/>
          <w:szCs w:val="22"/>
        </w:rPr>
        <w:t>11</w:t>
      </w:r>
      <w:r>
        <w:rPr>
          <w:b/>
          <w:sz w:val="22"/>
          <w:szCs w:val="22"/>
        </w:rPr>
        <w:t>/2024</w:t>
      </w:r>
    </w:p>
    <w:p w14:paraId="1C6533DB" w14:textId="77777777" w:rsidR="009F2D68" w:rsidRPr="00F61118" w:rsidRDefault="009F2D68" w:rsidP="00F41DEC">
      <w:pPr>
        <w:tabs>
          <w:tab w:val="left" w:pos="0"/>
          <w:tab w:val="left" w:pos="142"/>
        </w:tabs>
        <w:spacing w:line="360" w:lineRule="auto"/>
        <w:jc w:val="center"/>
        <w:rPr>
          <w:b/>
          <w:sz w:val="22"/>
          <w:szCs w:val="22"/>
        </w:rPr>
      </w:pPr>
    </w:p>
    <w:p w14:paraId="56765139" w14:textId="77777777" w:rsidR="00361381" w:rsidRPr="00F61118" w:rsidRDefault="001A27B9" w:rsidP="00F41DEC">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05A14694" w:rsidR="005B7E20" w:rsidRPr="00F61118" w:rsidRDefault="001F1A07"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1F1A07">
        <w:rPr>
          <w:rFonts w:eastAsia="Calibri"/>
          <w:bCs/>
          <w:sz w:val="22"/>
          <w:szCs w:val="22"/>
          <w:lang w:val="pt-BR"/>
        </w:rPr>
        <w:t>Contratação de empresa especializada para prestação de serviços de conectividade à rede mundial de internet, através de Link Compartilhado com conexão em fibra óptica, destinado à Prefeitura Municipal de Catuji/MG</w:t>
      </w:r>
      <w:r w:rsidR="001A27B9" w:rsidRPr="00F61118">
        <w:rPr>
          <w:rFonts w:eastAsia="Calibri"/>
          <w:sz w:val="22"/>
          <w:szCs w:val="22"/>
        </w:rPr>
        <w:t>.</w:t>
      </w:r>
    </w:p>
    <w:tbl>
      <w:tblPr>
        <w:tblStyle w:val="Tabelacomgrade1"/>
        <w:tblW w:w="5000" w:type="pct"/>
        <w:tblLook w:val="04A0" w:firstRow="1" w:lastRow="0" w:firstColumn="1" w:lastColumn="0" w:noHBand="0" w:noVBand="1"/>
      </w:tblPr>
      <w:tblGrid>
        <w:gridCol w:w="803"/>
        <w:gridCol w:w="6925"/>
        <w:gridCol w:w="834"/>
        <w:gridCol w:w="1067"/>
      </w:tblGrid>
      <w:tr w:rsidR="004249C4" w:rsidRPr="001F1A07" w14:paraId="7D4C17CF" w14:textId="05DBA000" w:rsidTr="003115F2">
        <w:trPr>
          <w:trHeight w:val="20"/>
        </w:trPr>
        <w:tc>
          <w:tcPr>
            <w:tcW w:w="417" w:type="pct"/>
            <w:vAlign w:val="center"/>
          </w:tcPr>
          <w:p w14:paraId="7389B6B8"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ITEM</w:t>
            </w:r>
          </w:p>
        </w:tc>
        <w:tc>
          <w:tcPr>
            <w:tcW w:w="3596" w:type="pct"/>
            <w:vAlign w:val="center"/>
          </w:tcPr>
          <w:p w14:paraId="05339853"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DESCRIÇÃO DO PRODUTO</w:t>
            </w:r>
          </w:p>
        </w:tc>
        <w:tc>
          <w:tcPr>
            <w:tcW w:w="433" w:type="pct"/>
            <w:vAlign w:val="center"/>
          </w:tcPr>
          <w:p w14:paraId="276755C9"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UNID.</w:t>
            </w:r>
          </w:p>
        </w:tc>
        <w:tc>
          <w:tcPr>
            <w:tcW w:w="554" w:type="pct"/>
            <w:vAlign w:val="center"/>
          </w:tcPr>
          <w:p w14:paraId="4252CB3F" w14:textId="77777777" w:rsidR="004249C4" w:rsidRPr="001F1A07" w:rsidRDefault="004249C4" w:rsidP="00F41DEC">
            <w:pPr>
              <w:tabs>
                <w:tab w:val="left" w:pos="0"/>
              </w:tabs>
              <w:spacing w:line="360" w:lineRule="auto"/>
              <w:jc w:val="center"/>
              <w:rPr>
                <w:b/>
                <w:bCs/>
                <w:sz w:val="22"/>
                <w:szCs w:val="22"/>
              </w:rPr>
            </w:pPr>
            <w:r w:rsidRPr="001F1A07">
              <w:rPr>
                <w:b/>
                <w:bCs/>
                <w:sz w:val="22"/>
                <w:szCs w:val="22"/>
              </w:rPr>
              <w:t>QUANT.</w:t>
            </w:r>
          </w:p>
        </w:tc>
      </w:tr>
      <w:tr w:rsidR="001F1A07" w:rsidRPr="001F1A07" w14:paraId="39324582" w14:textId="595F5832" w:rsidTr="003115F2">
        <w:trPr>
          <w:trHeight w:val="20"/>
        </w:trPr>
        <w:tc>
          <w:tcPr>
            <w:tcW w:w="5000" w:type="pct"/>
            <w:gridSpan w:val="4"/>
            <w:vAlign w:val="center"/>
          </w:tcPr>
          <w:p w14:paraId="2F68FB9F" w14:textId="5CCE0466" w:rsidR="001F1A07" w:rsidRPr="001F1A07" w:rsidRDefault="001F1A07" w:rsidP="00F41DEC">
            <w:pPr>
              <w:tabs>
                <w:tab w:val="left" w:pos="0"/>
              </w:tabs>
              <w:spacing w:line="360" w:lineRule="auto"/>
              <w:jc w:val="center"/>
              <w:rPr>
                <w:b/>
                <w:bCs/>
                <w:sz w:val="22"/>
                <w:szCs w:val="22"/>
              </w:rPr>
            </w:pPr>
            <w:r w:rsidRPr="001F1A07">
              <w:rPr>
                <w:b/>
                <w:bCs/>
                <w:sz w:val="22"/>
                <w:szCs w:val="22"/>
              </w:rPr>
              <w:t>LOTE 01</w:t>
            </w:r>
          </w:p>
        </w:tc>
      </w:tr>
      <w:tr w:rsidR="004249C4" w:rsidRPr="001F1A07" w14:paraId="761DBA63" w14:textId="6989D029" w:rsidTr="003115F2">
        <w:trPr>
          <w:trHeight w:val="20"/>
        </w:trPr>
        <w:tc>
          <w:tcPr>
            <w:tcW w:w="417" w:type="pct"/>
            <w:vAlign w:val="center"/>
          </w:tcPr>
          <w:p w14:paraId="58A1622B" w14:textId="77777777" w:rsidR="004249C4" w:rsidRPr="001F1A07" w:rsidRDefault="004249C4" w:rsidP="00F41DEC">
            <w:pPr>
              <w:tabs>
                <w:tab w:val="left" w:pos="0"/>
              </w:tabs>
              <w:spacing w:line="360" w:lineRule="auto"/>
              <w:jc w:val="center"/>
              <w:rPr>
                <w:bCs/>
                <w:sz w:val="22"/>
                <w:szCs w:val="22"/>
              </w:rPr>
            </w:pPr>
            <w:r w:rsidRPr="001F1A07">
              <w:rPr>
                <w:bCs/>
                <w:sz w:val="22"/>
                <w:szCs w:val="22"/>
              </w:rPr>
              <w:t>1</w:t>
            </w:r>
          </w:p>
        </w:tc>
        <w:tc>
          <w:tcPr>
            <w:tcW w:w="3596" w:type="pct"/>
            <w:vAlign w:val="center"/>
          </w:tcPr>
          <w:p w14:paraId="423FF293"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SEDE DA PREFEITURA MUNICIPAL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400MB</w:t>
            </w:r>
          </w:p>
        </w:tc>
        <w:tc>
          <w:tcPr>
            <w:tcW w:w="433" w:type="pct"/>
            <w:vAlign w:val="center"/>
          </w:tcPr>
          <w:p w14:paraId="2A49BAE9"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9943763"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E3BC4B4" w14:textId="01A8D8F4" w:rsidTr="003115F2">
        <w:trPr>
          <w:trHeight w:val="20"/>
        </w:trPr>
        <w:tc>
          <w:tcPr>
            <w:tcW w:w="417" w:type="pct"/>
            <w:vAlign w:val="center"/>
          </w:tcPr>
          <w:p w14:paraId="6D84579B" w14:textId="77777777" w:rsidR="004249C4" w:rsidRPr="001F1A07" w:rsidRDefault="004249C4" w:rsidP="00F41DEC">
            <w:pPr>
              <w:tabs>
                <w:tab w:val="left" w:pos="0"/>
              </w:tabs>
              <w:spacing w:line="360" w:lineRule="auto"/>
              <w:jc w:val="center"/>
              <w:rPr>
                <w:bCs/>
                <w:sz w:val="22"/>
                <w:szCs w:val="22"/>
              </w:rPr>
            </w:pPr>
            <w:r w:rsidRPr="001F1A07">
              <w:rPr>
                <w:bCs/>
                <w:sz w:val="22"/>
                <w:szCs w:val="22"/>
              </w:rPr>
              <w:t>2</w:t>
            </w:r>
          </w:p>
        </w:tc>
        <w:tc>
          <w:tcPr>
            <w:tcW w:w="3596" w:type="pct"/>
            <w:vAlign w:val="center"/>
          </w:tcPr>
          <w:p w14:paraId="0921C807"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SECRETARIA MUNICIPAL DE SAÚDE</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70036B9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4E445348"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A8E32F1" w14:textId="0214251D" w:rsidTr="003115F2">
        <w:trPr>
          <w:trHeight w:val="20"/>
        </w:trPr>
        <w:tc>
          <w:tcPr>
            <w:tcW w:w="417" w:type="pct"/>
            <w:vAlign w:val="center"/>
          </w:tcPr>
          <w:p w14:paraId="45F5F52C" w14:textId="77777777" w:rsidR="004249C4" w:rsidRPr="001F1A07" w:rsidRDefault="004249C4" w:rsidP="00F41DEC">
            <w:pPr>
              <w:tabs>
                <w:tab w:val="left" w:pos="0"/>
              </w:tabs>
              <w:spacing w:line="360" w:lineRule="auto"/>
              <w:jc w:val="center"/>
              <w:rPr>
                <w:bCs/>
                <w:sz w:val="22"/>
                <w:szCs w:val="22"/>
              </w:rPr>
            </w:pPr>
            <w:r w:rsidRPr="001F1A07">
              <w:rPr>
                <w:bCs/>
                <w:sz w:val="22"/>
                <w:szCs w:val="22"/>
              </w:rPr>
              <w:t>3</w:t>
            </w:r>
          </w:p>
        </w:tc>
        <w:tc>
          <w:tcPr>
            <w:tcW w:w="3596" w:type="pct"/>
            <w:vAlign w:val="center"/>
          </w:tcPr>
          <w:p w14:paraId="07CB7347"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INSS E POLICIA CIVIL</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312198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086AF6E4"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86865EA" w14:textId="019DEAFC" w:rsidTr="003115F2">
        <w:trPr>
          <w:trHeight w:val="20"/>
        </w:trPr>
        <w:tc>
          <w:tcPr>
            <w:tcW w:w="417" w:type="pct"/>
            <w:vAlign w:val="center"/>
          </w:tcPr>
          <w:p w14:paraId="0C44FE2D" w14:textId="77777777" w:rsidR="004249C4" w:rsidRPr="001F1A07" w:rsidRDefault="004249C4" w:rsidP="00F41DEC">
            <w:pPr>
              <w:tabs>
                <w:tab w:val="left" w:pos="0"/>
              </w:tabs>
              <w:spacing w:line="360" w:lineRule="auto"/>
              <w:jc w:val="center"/>
              <w:rPr>
                <w:bCs/>
                <w:sz w:val="22"/>
                <w:szCs w:val="22"/>
              </w:rPr>
            </w:pPr>
            <w:r w:rsidRPr="001F1A07">
              <w:rPr>
                <w:bCs/>
                <w:sz w:val="22"/>
                <w:szCs w:val="22"/>
              </w:rPr>
              <w:t>4</w:t>
            </w:r>
          </w:p>
        </w:tc>
        <w:tc>
          <w:tcPr>
            <w:tcW w:w="3596" w:type="pct"/>
            <w:vAlign w:val="center"/>
          </w:tcPr>
          <w:p w14:paraId="4DD7C7C8" w14:textId="77777777" w:rsidR="004249C4" w:rsidRPr="001F1A07" w:rsidRDefault="004249C4" w:rsidP="00F41DEC">
            <w:pPr>
              <w:tabs>
                <w:tab w:val="left" w:pos="0"/>
              </w:tabs>
              <w:spacing w:line="360" w:lineRule="auto"/>
              <w:jc w:val="both"/>
              <w:rPr>
                <w:bCs/>
                <w:sz w:val="22"/>
                <w:szCs w:val="22"/>
              </w:rPr>
            </w:pPr>
            <w:r w:rsidRPr="001F1A07">
              <w:rPr>
                <w:b/>
                <w:bCs/>
                <w:sz w:val="22"/>
                <w:szCs w:val="22"/>
              </w:rPr>
              <w:t>LOCAL: SECRETARIA MUNICIPAL DE OBRAS, SERVIÇOS URBANOS E TRANSPORTES</w:t>
            </w:r>
            <w:r w:rsidRPr="001F1A07">
              <w:rPr>
                <w:bCs/>
                <w:sz w:val="22"/>
                <w:szCs w:val="22"/>
              </w:rPr>
              <w:t xml:space="preserve"> </w:t>
            </w:r>
            <w:r w:rsidRPr="001F1A07">
              <w:rPr>
                <w:b/>
                <w:bCs/>
                <w:sz w:val="22"/>
                <w:szCs w:val="22"/>
              </w:rPr>
              <w:t>–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A182FC7"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CEDC341"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0759B10" w14:textId="7D973604" w:rsidTr="003115F2">
        <w:trPr>
          <w:trHeight w:val="20"/>
        </w:trPr>
        <w:tc>
          <w:tcPr>
            <w:tcW w:w="417" w:type="pct"/>
            <w:vAlign w:val="center"/>
          </w:tcPr>
          <w:p w14:paraId="281A788F" w14:textId="77777777" w:rsidR="004249C4" w:rsidRPr="001F1A07" w:rsidRDefault="004249C4" w:rsidP="00F41DEC">
            <w:pPr>
              <w:tabs>
                <w:tab w:val="left" w:pos="0"/>
              </w:tabs>
              <w:spacing w:line="360" w:lineRule="auto"/>
              <w:jc w:val="center"/>
              <w:rPr>
                <w:bCs/>
                <w:sz w:val="22"/>
                <w:szCs w:val="22"/>
              </w:rPr>
            </w:pPr>
            <w:r w:rsidRPr="001F1A07">
              <w:rPr>
                <w:bCs/>
                <w:sz w:val="22"/>
                <w:szCs w:val="22"/>
              </w:rPr>
              <w:t>5</w:t>
            </w:r>
          </w:p>
        </w:tc>
        <w:tc>
          <w:tcPr>
            <w:tcW w:w="3596" w:type="pct"/>
            <w:vAlign w:val="center"/>
          </w:tcPr>
          <w:p w14:paraId="1A8FC26B"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ASSISTENCIA SOCIAL– ZONA URBANA</w:t>
            </w:r>
            <w:r w:rsidRPr="001F1A07">
              <w:rPr>
                <w:bCs/>
                <w:sz w:val="22"/>
                <w:szCs w:val="22"/>
              </w:rPr>
              <w:t xml:space="preserve">. Serviço de acesso à internet em alta velocidade através de fibra ótica que permita a conexão banda larga (24 horas por dia, 7 dias por </w:t>
            </w:r>
            <w:r w:rsidRPr="001F1A07">
              <w:rPr>
                <w:bCs/>
                <w:sz w:val="22"/>
                <w:szCs w:val="22"/>
              </w:rPr>
              <w:lastRenderedPageBreak/>
              <w:t xml:space="preserve">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18224CC1" w14:textId="77777777" w:rsidR="004249C4" w:rsidRPr="001F1A07" w:rsidRDefault="004249C4"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76E73F5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7C5311B6" w14:textId="1EFED6FA" w:rsidTr="003115F2">
        <w:trPr>
          <w:trHeight w:val="20"/>
        </w:trPr>
        <w:tc>
          <w:tcPr>
            <w:tcW w:w="417" w:type="pct"/>
            <w:vAlign w:val="center"/>
          </w:tcPr>
          <w:p w14:paraId="5ACA7FF7" w14:textId="77777777" w:rsidR="004249C4" w:rsidRPr="001F1A07" w:rsidRDefault="004249C4" w:rsidP="00F41DEC">
            <w:pPr>
              <w:tabs>
                <w:tab w:val="left" w:pos="0"/>
              </w:tabs>
              <w:spacing w:line="360" w:lineRule="auto"/>
              <w:jc w:val="center"/>
              <w:rPr>
                <w:bCs/>
                <w:sz w:val="22"/>
                <w:szCs w:val="22"/>
              </w:rPr>
            </w:pPr>
            <w:r w:rsidRPr="001F1A07">
              <w:rPr>
                <w:bCs/>
                <w:sz w:val="22"/>
                <w:szCs w:val="22"/>
              </w:rPr>
              <w:t>6</w:t>
            </w:r>
          </w:p>
        </w:tc>
        <w:tc>
          <w:tcPr>
            <w:tcW w:w="3596" w:type="pct"/>
            <w:vAlign w:val="center"/>
          </w:tcPr>
          <w:p w14:paraId="259C07B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DESENVOLVIMENTO AGRÁRIO E MEIO AMBIENTE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DDFC66C"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CCC151F"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7763772" w14:textId="0583E74D" w:rsidTr="003115F2">
        <w:trPr>
          <w:trHeight w:val="20"/>
        </w:trPr>
        <w:tc>
          <w:tcPr>
            <w:tcW w:w="417" w:type="pct"/>
            <w:vAlign w:val="center"/>
          </w:tcPr>
          <w:p w14:paraId="19DB6FF3" w14:textId="77777777" w:rsidR="004249C4" w:rsidRPr="001F1A07" w:rsidRDefault="004249C4" w:rsidP="00F41DEC">
            <w:pPr>
              <w:tabs>
                <w:tab w:val="left" w:pos="0"/>
              </w:tabs>
              <w:spacing w:line="360" w:lineRule="auto"/>
              <w:jc w:val="center"/>
              <w:rPr>
                <w:bCs/>
                <w:sz w:val="22"/>
                <w:szCs w:val="22"/>
              </w:rPr>
            </w:pPr>
            <w:r w:rsidRPr="001F1A07">
              <w:rPr>
                <w:bCs/>
                <w:sz w:val="22"/>
                <w:szCs w:val="22"/>
              </w:rPr>
              <w:t>7</w:t>
            </w:r>
          </w:p>
        </w:tc>
        <w:tc>
          <w:tcPr>
            <w:tcW w:w="3596" w:type="pct"/>
            <w:vAlign w:val="center"/>
          </w:tcPr>
          <w:p w14:paraId="1262886F"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FAMARCIA MUNICIPAL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918C4EA"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64746DB"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0E6801B4" w14:textId="43745EE0" w:rsidTr="003115F2">
        <w:trPr>
          <w:trHeight w:val="20"/>
        </w:trPr>
        <w:tc>
          <w:tcPr>
            <w:tcW w:w="417" w:type="pct"/>
            <w:vAlign w:val="center"/>
          </w:tcPr>
          <w:p w14:paraId="7D39DBDD" w14:textId="77777777" w:rsidR="004249C4" w:rsidRPr="001F1A07" w:rsidRDefault="004249C4" w:rsidP="00F41DEC">
            <w:pPr>
              <w:tabs>
                <w:tab w:val="left" w:pos="0"/>
              </w:tabs>
              <w:spacing w:line="360" w:lineRule="auto"/>
              <w:jc w:val="center"/>
              <w:rPr>
                <w:bCs/>
                <w:sz w:val="22"/>
                <w:szCs w:val="22"/>
              </w:rPr>
            </w:pPr>
            <w:r w:rsidRPr="001F1A07">
              <w:rPr>
                <w:bCs/>
                <w:sz w:val="22"/>
                <w:szCs w:val="22"/>
              </w:rPr>
              <w:t>8</w:t>
            </w:r>
          </w:p>
        </w:tc>
        <w:tc>
          <w:tcPr>
            <w:tcW w:w="3596" w:type="pct"/>
            <w:vAlign w:val="center"/>
          </w:tcPr>
          <w:p w14:paraId="2FB4AA1E"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CONSELHO TUTELAR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0EF0C0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2DAE2FAE"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24D4CFC" w14:textId="799D1284" w:rsidTr="003115F2">
        <w:trPr>
          <w:trHeight w:val="20"/>
        </w:trPr>
        <w:tc>
          <w:tcPr>
            <w:tcW w:w="417" w:type="pct"/>
            <w:vAlign w:val="center"/>
          </w:tcPr>
          <w:p w14:paraId="4716018D" w14:textId="77777777" w:rsidR="004249C4" w:rsidRPr="001F1A07" w:rsidRDefault="004249C4" w:rsidP="00F41DEC">
            <w:pPr>
              <w:tabs>
                <w:tab w:val="left" w:pos="0"/>
              </w:tabs>
              <w:spacing w:line="360" w:lineRule="auto"/>
              <w:jc w:val="center"/>
              <w:rPr>
                <w:bCs/>
                <w:sz w:val="22"/>
                <w:szCs w:val="22"/>
              </w:rPr>
            </w:pPr>
            <w:r w:rsidRPr="001F1A07">
              <w:rPr>
                <w:bCs/>
                <w:sz w:val="22"/>
                <w:szCs w:val="22"/>
              </w:rPr>
              <w:t>9</w:t>
            </w:r>
          </w:p>
        </w:tc>
        <w:tc>
          <w:tcPr>
            <w:tcW w:w="3596" w:type="pct"/>
            <w:vAlign w:val="center"/>
          </w:tcPr>
          <w:p w14:paraId="324649AD"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ONG MENINA DANÇA–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D854850"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0D34166F"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E794D4E" w14:textId="7C8B494D" w:rsidTr="003115F2">
        <w:trPr>
          <w:trHeight w:val="20"/>
        </w:trPr>
        <w:tc>
          <w:tcPr>
            <w:tcW w:w="417" w:type="pct"/>
            <w:vAlign w:val="center"/>
          </w:tcPr>
          <w:p w14:paraId="0A8F1CEB" w14:textId="77777777" w:rsidR="004249C4" w:rsidRPr="001F1A07" w:rsidRDefault="004249C4" w:rsidP="00F41DEC">
            <w:pPr>
              <w:tabs>
                <w:tab w:val="left" w:pos="0"/>
              </w:tabs>
              <w:spacing w:line="360" w:lineRule="auto"/>
              <w:jc w:val="center"/>
              <w:rPr>
                <w:bCs/>
                <w:sz w:val="22"/>
                <w:szCs w:val="22"/>
              </w:rPr>
            </w:pPr>
            <w:r w:rsidRPr="001F1A07">
              <w:rPr>
                <w:bCs/>
                <w:sz w:val="22"/>
                <w:szCs w:val="22"/>
              </w:rPr>
              <w:t>10</w:t>
            </w:r>
          </w:p>
        </w:tc>
        <w:tc>
          <w:tcPr>
            <w:tcW w:w="3596" w:type="pct"/>
            <w:vAlign w:val="center"/>
          </w:tcPr>
          <w:p w14:paraId="2F550DC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CAPS (</w:t>
            </w:r>
            <w:r w:rsidRPr="001F1A07">
              <w:rPr>
                <w:bCs/>
                <w:sz w:val="22"/>
                <w:szCs w:val="22"/>
              </w:rPr>
              <w:t>Centro de Atenção Psicossocial</w:t>
            </w:r>
            <w:r w:rsidRPr="001F1A07">
              <w:rPr>
                <w:b/>
                <w:bCs/>
                <w:sz w:val="22"/>
                <w:szCs w:val="22"/>
              </w:rPr>
              <w:t>)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6CFE8426"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B20A57B"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158B48AA" w14:textId="36E6D38D" w:rsidTr="003115F2">
        <w:trPr>
          <w:trHeight w:val="20"/>
        </w:trPr>
        <w:tc>
          <w:tcPr>
            <w:tcW w:w="417" w:type="pct"/>
            <w:vAlign w:val="center"/>
          </w:tcPr>
          <w:p w14:paraId="7E977948" w14:textId="77777777" w:rsidR="004249C4" w:rsidRPr="001F1A07" w:rsidRDefault="004249C4" w:rsidP="00F41DEC">
            <w:pPr>
              <w:tabs>
                <w:tab w:val="left" w:pos="0"/>
              </w:tabs>
              <w:spacing w:line="360" w:lineRule="auto"/>
              <w:jc w:val="center"/>
              <w:rPr>
                <w:bCs/>
                <w:sz w:val="22"/>
                <w:szCs w:val="22"/>
              </w:rPr>
            </w:pPr>
            <w:r w:rsidRPr="001F1A07">
              <w:rPr>
                <w:bCs/>
                <w:sz w:val="22"/>
                <w:szCs w:val="22"/>
              </w:rPr>
              <w:t>11</w:t>
            </w:r>
          </w:p>
        </w:tc>
        <w:tc>
          <w:tcPr>
            <w:tcW w:w="3596" w:type="pct"/>
            <w:vAlign w:val="center"/>
          </w:tcPr>
          <w:p w14:paraId="1414B81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PSF CENTRAL – ZONA URBANA</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79E72AC9"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461587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7418A8E" w14:textId="27D647BD" w:rsidTr="003115F2">
        <w:trPr>
          <w:trHeight w:val="20"/>
        </w:trPr>
        <w:tc>
          <w:tcPr>
            <w:tcW w:w="417" w:type="pct"/>
            <w:vAlign w:val="center"/>
          </w:tcPr>
          <w:p w14:paraId="1B6F522A"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c>
          <w:tcPr>
            <w:tcW w:w="3596" w:type="pct"/>
            <w:vAlign w:val="center"/>
          </w:tcPr>
          <w:p w14:paraId="18AFD5C6"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SECRETARIA MUNICIPAL DE EDUCAÇÃO – ZONA URBANA</w:t>
            </w:r>
            <w:r w:rsidRPr="001F1A07">
              <w:rPr>
                <w:bCs/>
                <w:sz w:val="22"/>
                <w:szCs w:val="22"/>
              </w:rPr>
              <w:t xml:space="preserve">. Serviço de acesso à internet em alta velocidade através de fibra ótica que permita a conexão banda larga (24 horas por dia, 7 dias por semana) </w:t>
            </w:r>
            <w:r w:rsidRPr="001F1A07">
              <w:rPr>
                <w:bCs/>
                <w:sz w:val="22"/>
                <w:szCs w:val="22"/>
              </w:rPr>
              <w:lastRenderedPageBreak/>
              <w:t xml:space="preserve">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CA8CF78" w14:textId="77777777" w:rsidR="004249C4" w:rsidRPr="001F1A07" w:rsidRDefault="004249C4"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632BED75"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6276D37B" w14:textId="35B362C5" w:rsidTr="003115F2">
        <w:trPr>
          <w:trHeight w:val="20"/>
        </w:trPr>
        <w:tc>
          <w:tcPr>
            <w:tcW w:w="417" w:type="pct"/>
            <w:vAlign w:val="center"/>
          </w:tcPr>
          <w:p w14:paraId="186D3664" w14:textId="77777777" w:rsidR="004249C4" w:rsidRPr="001F1A07" w:rsidRDefault="004249C4" w:rsidP="00F41DEC">
            <w:pPr>
              <w:tabs>
                <w:tab w:val="left" w:pos="0"/>
              </w:tabs>
              <w:spacing w:line="360" w:lineRule="auto"/>
              <w:jc w:val="center"/>
              <w:rPr>
                <w:bCs/>
                <w:sz w:val="22"/>
                <w:szCs w:val="22"/>
              </w:rPr>
            </w:pPr>
            <w:r w:rsidRPr="001F1A07">
              <w:rPr>
                <w:bCs/>
                <w:sz w:val="22"/>
                <w:szCs w:val="22"/>
              </w:rPr>
              <w:t>13</w:t>
            </w:r>
          </w:p>
        </w:tc>
        <w:tc>
          <w:tcPr>
            <w:tcW w:w="3596" w:type="pct"/>
            <w:vAlign w:val="center"/>
          </w:tcPr>
          <w:p w14:paraId="30CC54C6"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POSTO DE SAÚDE – ZONA URBANA. </w:t>
            </w:r>
            <w:r w:rsidRPr="001F1A07">
              <w:rPr>
                <w:bCs/>
                <w:sz w:val="22"/>
                <w:szCs w:val="22"/>
              </w:rPr>
              <w:t xml:space="preserve">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DCFD7B"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1DF53173"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1F1A07" w:rsidRPr="001F1A07" w14:paraId="10CD9305" w14:textId="3FB86E84" w:rsidTr="003115F2">
        <w:trPr>
          <w:trHeight w:val="20"/>
        </w:trPr>
        <w:tc>
          <w:tcPr>
            <w:tcW w:w="5000" w:type="pct"/>
            <w:gridSpan w:val="4"/>
            <w:vAlign w:val="center"/>
          </w:tcPr>
          <w:p w14:paraId="0EB13249" w14:textId="28A4C49A" w:rsidR="001F1A07" w:rsidRPr="001F1A07" w:rsidRDefault="001F1A07" w:rsidP="00F41DEC">
            <w:pPr>
              <w:tabs>
                <w:tab w:val="left" w:pos="0"/>
              </w:tabs>
              <w:spacing w:line="360" w:lineRule="auto"/>
              <w:jc w:val="center"/>
              <w:rPr>
                <w:b/>
                <w:bCs/>
                <w:sz w:val="22"/>
                <w:szCs w:val="22"/>
              </w:rPr>
            </w:pPr>
            <w:r w:rsidRPr="001F1A07">
              <w:rPr>
                <w:b/>
                <w:bCs/>
                <w:sz w:val="22"/>
                <w:szCs w:val="22"/>
              </w:rPr>
              <w:t>LOTE 02</w:t>
            </w:r>
          </w:p>
        </w:tc>
      </w:tr>
      <w:tr w:rsidR="004249C4" w:rsidRPr="001F1A07" w14:paraId="004113E7" w14:textId="3EE2E021" w:rsidTr="003115F2">
        <w:trPr>
          <w:trHeight w:val="20"/>
        </w:trPr>
        <w:tc>
          <w:tcPr>
            <w:tcW w:w="417" w:type="pct"/>
            <w:vAlign w:val="center"/>
          </w:tcPr>
          <w:p w14:paraId="398DCFBA" w14:textId="77777777" w:rsidR="004249C4" w:rsidRPr="001F1A07" w:rsidRDefault="004249C4" w:rsidP="00F41DEC">
            <w:pPr>
              <w:tabs>
                <w:tab w:val="left" w:pos="0"/>
              </w:tabs>
              <w:spacing w:line="360" w:lineRule="auto"/>
              <w:jc w:val="center"/>
              <w:rPr>
                <w:bCs/>
                <w:sz w:val="22"/>
                <w:szCs w:val="22"/>
              </w:rPr>
            </w:pPr>
            <w:r w:rsidRPr="001F1A07">
              <w:rPr>
                <w:bCs/>
                <w:sz w:val="22"/>
                <w:szCs w:val="22"/>
              </w:rPr>
              <w:t>01</w:t>
            </w:r>
          </w:p>
        </w:tc>
        <w:tc>
          <w:tcPr>
            <w:tcW w:w="3596" w:type="pct"/>
            <w:vAlign w:val="center"/>
          </w:tcPr>
          <w:p w14:paraId="1066F32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DOS PORFIRIOS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588AFE2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745EA79"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433A1F24" w14:textId="1CDB4AA7" w:rsidTr="003115F2">
        <w:trPr>
          <w:trHeight w:val="20"/>
        </w:trPr>
        <w:tc>
          <w:tcPr>
            <w:tcW w:w="417" w:type="pct"/>
            <w:vAlign w:val="center"/>
          </w:tcPr>
          <w:p w14:paraId="5BA546A1" w14:textId="77777777" w:rsidR="004249C4" w:rsidRPr="001F1A07" w:rsidRDefault="004249C4" w:rsidP="00F41DEC">
            <w:pPr>
              <w:tabs>
                <w:tab w:val="left" w:pos="0"/>
              </w:tabs>
              <w:spacing w:line="360" w:lineRule="auto"/>
              <w:jc w:val="center"/>
              <w:rPr>
                <w:bCs/>
                <w:sz w:val="22"/>
                <w:szCs w:val="22"/>
              </w:rPr>
            </w:pPr>
            <w:r w:rsidRPr="001F1A07">
              <w:rPr>
                <w:bCs/>
                <w:sz w:val="22"/>
                <w:szCs w:val="22"/>
              </w:rPr>
              <w:t>02</w:t>
            </w:r>
          </w:p>
        </w:tc>
        <w:tc>
          <w:tcPr>
            <w:tcW w:w="3596" w:type="pct"/>
            <w:vAlign w:val="center"/>
          </w:tcPr>
          <w:p w14:paraId="6E9373CA"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JENIPAPINHO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CE0ACA"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080AB57"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2058E995" w14:textId="2A70FB87" w:rsidTr="003115F2">
        <w:trPr>
          <w:trHeight w:val="20"/>
        </w:trPr>
        <w:tc>
          <w:tcPr>
            <w:tcW w:w="417" w:type="pct"/>
            <w:vAlign w:val="center"/>
          </w:tcPr>
          <w:p w14:paraId="27C98F8E" w14:textId="77777777" w:rsidR="004249C4" w:rsidRPr="001F1A07" w:rsidRDefault="004249C4" w:rsidP="00F41DEC">
            <w:pPr>
              <w:tabs>
                <w:tab w:val="left" w:pos="0"/>
              </w:tabs>
              <w:spacing w:line="360" w:lineRule="auto"/>
              <w:jc w:val="center"/>
              <w:rPr>
                <w:bCs/>
                <w:sz w:val="22"/>
                <w:szCs w:val="22"/>
              </w:rPr>
            </w:pPr>
            <w:r w:rsidRPr="001F1A07">
              <w:rPr>
                <w:bCs/>
                <w:sz w:val="22"/>
                <w:szCs w:val="22"/>
              </w:rPr>
              <w:t>03</w:t>
            </w:r>
          </w:p>
        </w:tc>
        <w:tc>
          <w:tcPr>
            <w:tcW w:w="3596" w:type="pct"/>
            <w:vAlign w:val="center"/>
          </w:tcPr>
          <w:p w14:paraId="7A950E8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PSF DOS JENIPAPÃO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35A557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7B8E622A"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1F9919D7" w14:textId="13289D3D" w:rsidTr="003115F2">
        <w:trPr>
          <w:trHeight w:val="20"/>
        </w:trPr>
        <w:tc>
          <w:tcPr>
            <w:tcW w:w="417" w:type="pct"/>
            <w:vAlign w:val="center"/>
          </w:tcPr>
          <w:p w14:paraId="0E05CA94" w14:textId="77777777" w:rsidR="004249C4" w:rsidRPr="001F1A07" w:rsidRDefault="004249C4" w:rsidP="00F41DEC">
            <w:pPr>
              <w:tabs>
                <w:tab w:val="left" w:pos="0"/>
              </w:tabs>
              <w:spacing w:line="360" w:lineRule="auto"/>
              <w:jc w:val="center"/>
              <w:rPr>
                <w:bCs/>
                <w:sz w:val="22"/>
                <w:szCs w:val="22"/>
              </w:rPr>
            </w:pPr>
            <w:r w:rsidRPr="001F1A07">
              <w:rPr>
                <w:bCs/>
                <w:sz w:val="22"/>
                <w:szCs w:val="22"/>
              </w:rPr>
              <w:t>04</w:t>
            </w:r>
          </w:p>
        </w:tc>
        <w:tc>
          <w:tcPr>
            <w:tcW w:w="3596" w:type="pct"/>
            <w:vAlign w:val="center"/>
          </w:tcPr>
          <w:p w14:paraId="0F395441"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UNIDADE DE SAÚDE FUMAÇA –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561F5D7"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3A2103BC"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4EB82286" w14:textId="5E5C486D" w:rsidTr="003115F2">
        <w:trPr>
          <w:trHeight w:val="20"/>
        </w:trPr>
        <w:tc>
          <w:tcPr>
            <w:tcW w:w="417" w:type="pct"/>
            <w:vAlign w:val="center"/>
          </w:tcPr>
          <w:p w14:paraId="4F811F14" w14:textId="77777777" w:rsidR="004249C4" w:rsidRPr="001F1A07" w:rsidRDefault="004249C4" w:rsidP="00F41DEC">
            <w:pPr>
              <w:tabs>
                <w:tab w:val="left" w:pos="0"/>
              </w:tabs>
              <w:spacing w:line="360" w:lineRule="auto"/>
              <w:jc w:val="center"/>
              <w:rPr>
                <w:bCs/>
                <w:sz w:val="22"/>
                <w:szCs w:val="22"/>
              </w:rPr>
            </w:pPr>
            <w:r w:rsidRPr="001F1A07">
              <w:rPr>
                <w:bCs/>
                <w:sz w:val="22"/>
                <w:szCs w:val="22"/>
              </w:rPr>
              <w:t>05</w:t>
            </w:r>
          </w:p>
        </w:tc>
        <w:tc>
          <w:tcPr>
            <w:tcW w:w="3596" w:type="pct"/>
            <w:vAlign w:val="center"/>
          </w:tcPr>
          <w:p w14:paraId="2792112B"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LOCAL: UNIDADE DE SAÚDE SANTANA –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29A95C5D" w14:textId="77777777" w:rsidR="004249C4" w:rsidRPr="001F1A07" w:rsidRDefault="004249C4"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61492909"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4249C4" w:rsidRPr="001F1A07" w14:paraId="3E100ACB" w14:textId="7FAE4D97" w:rsidTr="003115F2">
        <w:trPr>
          <w:trHeight w:val="20"/>
        </w:trPr>
        <w:tc>
          <w:tcPr>
            <w:tcW w:w="417" w:type="pct"/>
            <w:vAlign w:val="center"/>
          </w:tcPr>
          <w:p w14:paraId="091149DF" w14:textId="77777777" w:rsidR="004249C4" w:rsidRPr="001F1A07" w:rsidRDefault="004249C4" w:rsidP="00F41DEC">
            <w:pPr>
              <w:tabs>
                <w:tab w:val="left" w:pos="0"/>
              </w:tabs>
              <w:spacing w:line="360" w:lineRule="auto"/>
              <w:jc w:val="center"/>
              <w:rPr>
                <w:bCs/>
                <w:sz w:val="22"/>
                <w:szCs w:val="22"/>
              </w:rPr>
            </w:pPr>
            <w:r w:rsidRPr="001F1A07">
              <w:rPr>
                <w:bCs/>
                <w:sz w:val="22"/>
                <w:szCs w:val="22"/>
              </w:rPr>
              <w:t>06</w:t>
            </w:r>
          </w:p>
        </w:tc>
        <w:tc>
          <w:tcPr>
            <w:tcW w:w="3596" w:type="pct"/>
            <w:vAlign w:val="center"/>
          </w:tcPr>
          <w:p w14:paraId="774BA5A8" w14:textId="77777777" w:rsidR="004249C4" w:rsidRPr="001F1A07" w:rsidRDefault="004249C4" w:rsidP="00F41DEC">
            <w:pPr>
              <w:tabs>
                <w:tab w:val="left" w:pos="0"/>
              </w:tabs>
              <w:spacing w:line="360" w:lineRule="auto"/>
              <w:jc w:val="both"/>
              <w:rPr>
                <w:b/>
                <w:bCs/>
                <w:sz w:val="22"/>
                <w:szCs w:val="22"/>
              </w:rPr>
            </w:pPr>
            <w:r w:rsidRPr="001F1A07">
              <w:rPr>
                <w:b/>
                <w:bCs/>
                <w:sz w:val="22"/>
                <w:szCs w:val="22"/>
              </w:rPr>
              <w:t xml:space="preserve">LOCAL: UNIDADE DE SAÚDE FUNIL </w:t>
            </w:r>
            <w:r w:rsidRPr="001F1A07">
              <w:rPr>
                <w:bCs/>
                <w:sz w:val="22"/>
                <w:szCs w:val="22"/>
              </w:rPr>
              <w:t>-</w:t>
            </w:r>
            <w:r w:rsidRPr="001F1A07">
              <w:rPr>
                <w:b/>
                <w:bCs/>
                <w:sz w:val="22"/>
                <w:szCs w:val="22"/>
              </w:rPr>
              <w:t>– ZONA RURAL.</w:t>
            </w:r>
            <w:r w:rsidRPr="001F1A07">
              <w:rPr>
                <w:bCs/>
                <w:sz w:val="22"/>
                <w:szCs w:val="22"/>
              </w:rPr>
              <w:t xml:space="preserve"> Serviço de acesso à internet em alta velocidade através de fibra ótica que permita a conexão banda larga (24 horas por dia, 7 dias por semana) com comunicação </w:t>
            </w:r>
            <w:r w:rsidRPr="001F1A07">
              <w:rPr>
                <w:bCs/>
                <w:sz w:val="22"/>
                <w:szCs w:val="22"/>
              </w:rPr>
              <w:lastRenderedPageBreak/>
              <w:t xml:space="preserve">compartilhada para acesso IP à rede mundial da internet suportando aplicações TCP/ IP com a velocidade de </w:t>
            </w:r>
            <w:r w:rsidRPr="001F1A07">
              <w:rPr>
                <w:b/>
                <w:bCs/>
                <w:sz w:val="22"/>
                <w:szCs w:val="22"/>
              </w:rPr>
              <w:t>100 MB</w:t>
            </w:r>
          </w:p>
        </w:tc>
        <w:tc>
          <w:tcPr>
            <w:tcW w:w="433" w:type="pct"/>
            <w:vAlign w:val="center"/>
          </w:tcPr>
          <w:p w14:paraId="2C1F2055" w14:textId="77777777" w:rsidR="004249C4" w:rsidRPr="001F1A07" w:rsidRDefault="004249C4" w:rsidP="00F41DEC">
            <w:pPr>
              <w:tabs>
                <w:tab w:val="left" w:pos="0"/>
              </w:tabs>
              <w:spacing w:line="360" w:lineRule="auto"/>
              <w:jc w:val="center"/>
              <w:rPr>
                <w:bCs/>
                <w:sz w:val="22"/>
                <w:szCs w:val="22"/>
              </w:rPr>
            </w:pPr>
            <w:r w:rsidRPr="001F1A07">
              <w:rPr>
                <w:bCs/>
                <w:sz w:val="22"/>
                <w:szCs w:val="22"/>
              </w:rPr>
              <w:lastRenderedPageBreak/>
              <w:t>Mês</w:t>
            </w:r>
          </w:p>
        </w:tc>
        <w:tc>
          <w:tcPr>
            <w:tcW w:w="554" w:type="pct"/>
            <w:vAlign w:val="center"/>
          </w:tcPr>
          <w:p w14:paraId="412831EC" w14:textId="77777777" w:rsidR="004249C4" w:rsidRPr="001F1A07" w:rsidRDefault="004249C4" w:rsidP="00F41DEC">
            <w:pPr>
              <w:tabs>
                <w:tab w:val="left" w:pos="0"/>
              </w:tabs>
              <w:spacing w:line="360" w:lineRule="auto"/>
              <w:jc w:val="center"/>
              <w:rPr>
                <w:bCs/>
                <w:sz w:val="22"/>
                <w:szCs w:val="22"/>
              </w:rPr>
            </w:pPr>
            <w:r w:rsidRPr="001F1A07">
              <w:rPr>
                <w:bCs/>
                <w:sz w:val="22"/>
                <w:szCs w:val="22"/>
              </w:rPr>
              <w:t>12</w:t>
            </w:r>
          </w:p>
        </w:tc>
      </w:tr>
      <w:tr w:rsidR="003115F2" w:rsidRPr="001F1A07" w14:paraId="7DA0B632" w14:textId="6606494D" w:rsidTr="003115F2">
        <w:trPr>
          <w:trHeight w:val="20"/>
        </w:trPr>
        <w:tc>
          <w:tcPr>
            <w:tcW w:w="417" w:type="pct"/>
            <w:vAlign w:val="center"/>
          </w:tcPr>
          <w:p w14:paraId="087AE258" w14:textId="77777777" w:rsidR="003115F2" w:rsidRPr="001F1A07" w:rsidRDefault="003115F2" w:rsidP="00F41DEC">
            <w:pPr>
              <w:tabs>
                <w:tab w:val="left" w:pos="0"/>
              </w:tabs>
              <w:spacing w:line="360" w:lineRule="auto"/>
              <w:jc w:val="center"/>
              <w:rPr>
                <w:bCs/>
                <w:sz w:val="22"/>
                <w:szCs w:val="22"/>
              </w:rPr>
            </w:pPr>
            <w:r w:rsidRPr="001F1A07">
              <w:rPr>
                <w:bCs/>
                <w:sz w:val="22"/>
                <w:szCs w:val="22"/>
              </w:rPr>
              <w:t>07</w:t>
            </w:r>
          </w:p>
        </w:tc>
        <w:tc>
          <w:tcPr>
            <w:tcW w:w="3596" w:type="pct"/>
            <w:vAlign w:val="center"/>
          </w:tcPr>
          <w:p w14:paraId="6D4A0037" w14:textId="77777777" w:rsidR="003115F2" w:rsidRPr="001F1A07" w:rsidRDefault="003115F2" w:rsidP="00F41DEC">
            <w:pPr>
              <w:tabs>
                <w:tab w:val="left" w:pos="0"/>
              </w:tabs>
              <w:spacing w:line="360" w:lineRule="auto"/>
              <w:jc w:val="both"/>
              <w:rPr>
                <w:b/>
                <w:bCs/>
                <w:sz w:val="22"/>
                <w:szCs w:val="22"/>
              </w:rPr>
            </w:pPr>
            <w:r w:rsidRPr="001F1A07">
              <w:rPr>
                <w:b/>
                <w:bCs/>
                <w:sz w:val="22"/>
                <w:szCs w:val="22"/>
              </w:rPr>
              <w:t>LOCAL: UNIDADE DE SAÚDE MANILHAS – ZONA RURAL.</w:t>
            </w:r>
            <w:r w:rsidRPr="001F1A07">
              <w:rPr>
                <w:bCs/>
                <w:sz w:val="22"/>
                <w:szCs w:val="22"/>
              </w:rPr>
              <w:t xml:space="preserve"> Serviço de acesso à internet em alta velocidade através de fibra ótica que permita a conexão banda larga (24 horas por dia, 7 dias por semana) com comunicação compartilhada para acesso IP à rede mundial da internet suportando aplicações TCP/ IP com a velocidade de </w:t>
            </w:r>
            <w:r w:rsidRPr="001F1A07">
              <w:rPr>
                <w:b/>
                <w:bCs/>
                <w:sz w:val="22"/>
                <w:szCs w:val="22"/>
              </w:rPr>
              <w:t>100 MB</w:t>
            </w:r>
          </w:p>
        </w:tc>
        <w:tc>
          <w:tcPr>
            <w:tcW w:w="433" w:type="pct"/>
            <w:vAlign w:val="center"/>
          </w:tcPr>
          <w:p w14:paraId="4AF72B4D" w14:textId="77777777" w:rsidR="003115F2" w:rsidRPr="001F1A07" w:rsidRDefault="003115F2" w:rsidP="00F41DEC">
            <w:pPr>
              <w:tabs>
                <w:tab w:val="left" w:pos="0"/>
              </w:tabs>
              <w:spacing w:line="360" w:lineRule="auto"/>
              <w:jc w:val="center"/>
              <w:rPr>
                <w:bCs/>
                <w:sz w:val="22"/>
                <w:szCs w:val="22"/>
              </w:rPr>
            </w:pPr>
            <w:r w:rsidRPr="001F1A07">
              <w:rPr>
                <w:bCs/>
                <w:sz w:val="22"/>
                <w:szCs w:val="22"/>
              </w:rPr>
              <w:t>Mês</w:t>
            </w:r>
          </w:p>
        </w:tc>
        <w:tc>
          <w:tcPr>
            <w:tcW w:w="554" w:type="pct"/>
            <w:vAlign w:val="center"/>
          </w:tcPr>
          <w:p w14:paraId="0745036A" w14:textId="77777777" w:rsidR="003115F2" w:rsidRPr="001F1A07" w:rsidRDefault="003115F2" w:rsidP="00F41DEC">
            <w:pPr>
              <w:tabs>
                <w:tab w:val="left" w:pos="0"/>
              </w:tabs>
              <w:spacing w:line="360" w:lineRule="auto"/>
              <w:jc w:val="center"/>
              <w:rPr>
                <w:bCs/>
                <w:sz w:val="22"/>
                <w:szCs w:val="22"/>
              </w:rPr>
            </w:pPr>
            <w:r w:rsidRPr="001F1A07">
              <w:rPr>
                <w:bCs/>
                <w:sz w:val="22"/>
                <w:szCs w:val="22"/>
              </w:rPr>
              <w:t>12</w:t>
            </w:r>
          </w:p>
        </w:tc>
      </w:tr>
    </w:tbl>
    <w:p w14:paraId="49C47F23" w14:textId="3F7EA5A3" w:rsidR="00A44453" w:rsidRPr="00F61118" w:rsidRDefault="00A44453" w:rsidP="00F41DEC">
      <w:pPr>
        <w:pStyle w:val="PargrafodaLista"/>
        <w:tabs>
          <w:tab w:val="left" w:pos="0"/>
          <w:tab w:val="left" w:pos="142"/>
        </w:tabs>
        <w:spacing w:line="360" w:lineRule="auto"/>
        <w:ind w:left="0"/>
        <w:jc w:val="both"/>
        <w:rPr>
          <w:rFonts w:eastAsia="Calibri"/>
          <w:sz w:val="22"/>
          <w:szCs w:val="22"/>
        </w:rPr>
      </w:pPr>
    </w:p>
    <w:p w14:paraId="22F72B7D" w14:textId="77777777" w:rsidR="00EA6859" w:rsidRDefault="001A27B9"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30ACA17E" w14:textId="55F510FD" w:rsidR="00EA6859" w:rsidRPr="00EA6859" w:rsidRDefault="00374F19" w:rsidP="00F41DEC">
      <w:pPr>
        <w:pStyle w:val="PargrafodaLista"/>
        <w:numPr>
          <w:ilvl w:val="1"/>
          <w:numId w:val="7"/>
        </w:numPr>
        <w:tabs>
          <w:tab w:val="left" w:pos="0"/>
          <w:tab w:val="left" w:pos="142"/>
        </w:tabs>
        <w:spacing w:line="360" w:lineRule="auto"/>
        <w:ind w:left="0" w:firstLine="0"/>
        <w:jc w:val="both"/>
        <w:rPr>
          <w:rFonts w:eastAsia="Calibri"/>
          <w:sz w:val="22"/>
          <w:szCs w:val="22"/>
        </w:rPr>
      </w:pPr>
      <w:r w:rsidRPr="00374F19">
        <w:rPr>
          <w:rFonts w:eastAsia="Calibri"/>
          <w:sz w:val="22"/>
          <w:szCs w:val="22"/>
        </w:rPr>
        <w:t>O contrato oferece maior detalhamento das regras que serão aplicadas em relação à vigência da contratação</w:t>
      </w:r>
      <w:r w:rsidR="008B6F6F">
        <w:rPr>
          <w:rFonts w:eastAsia="Calibri"/>
          <w:sz w:val="22"/>
          <w:szCs w:val="22"/>
          <w:lang w:val="pt-BR"/>
        </w:rPr>
        <w:t>.</w:t>
      </w:r>
    </w:p>
    <w:p w14:paraId="4991024B" w14:textId="77777777" w:rsidR="005B7E20" w:rsidRPr="00F61118" w:rsidRDefault="001A27B9" w:rsidP="00F41DEC">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F41DEC">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41DEC">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41DEC">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F61118" w:rsidRDefault="001A27B9" w:rsidP="00F41DEC">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REQUISITOS DA CONTRATAÇÃO </w:t>
      </w:r>
    </w:p>
    <w:p w14:paraId="3EA28C91" w14:textId="77777777" w:rsidR="00625C63" w:rsidRPr="00625C63" w:rsidRDefault="008B6F6F" w:rsidP="00F41DEC">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 xml:space="preserve">Possibilitar acesso aos sistemas corporativos e externos que são necessários para o desempenho das atividades dos servidores do Município de Catuji. </w:t>
      </w:r>
    </w:p>
    <w:p w14:paraId="7C7F95BB" w14:textId="77777777" w:rsidR="00625C63" w:rsidRPr="00625C63" w:rsidRDefault="008B6F6F" w:rsidP="00F41DEC">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Aplicar melhorias e o aperfeiçoamento contínuo, pois as tecnologias permitem esse avanço, com foco na transformação digital</w:t>
      </w:r>
      <w:r w:rsidR="00625C63">
        <w:rPr>
          <w:rFonts w:eastAsia="Calibri"/>
          <w:sz w:val="22"/>
          <w:szCs w:val="22"/>
          <w:lang w:val="pt-BR"/>
        </w:rPr>
        <w:t>.</w:t>
      </w:r>
    </w:p>
    <w:p w14:paraId="55922ACC" w14:textId="45A0323A" w:rsidR="00C13998" w:rsidRPr="00F61118" w:rsidRDefault="008B6F6F" w:rsidP="00390D73">
      <w:pPr>
        <w:pStyle w:val="PargrafodaLista"/>
        <w:numPr>
          <w:ilvl w:val="1"/>
          <w:numId w:val="7"/>
        </w:numPr>
        <w:tabs>
          <w:tab w:val="left" w:pos="0"/>
          <w:tab w:val="left" w:pos="142"/>
        </w:tabs>
        <w:spacing w:line="360" w:lineRule="auto"/>
        <w:ind w:left="0" w:firstLine="0"/>
        <w:jc w:val="both"/>
        <w:rPr>
          <w:sz w:val="22"/>
          <w:szCs w:val="22"/>
        </w:rPr>
      </w:pPr>
      <w:r w:rsidRPr="008B6F6F">
        <w:rPr>
          <w:rFonts w:eastAsia="Calibri"/>
          <w:sz w:val="22"/>
          <w:szCs w:val="22"/>
          <w:lang w:val="pt-BR"/>
        </w:rPr>
        <w:t xml:space="preserve">Acesso à Internet com alta disponibilidade e confiabilidade e permitir o alcance aos diversos serviços/sistemas disponíveis na WEB, tais como e-mail, navegação web, </w:t>
      </w:r>
      <w:proofErr w:type="spellStart"/>
      <w:r w:rsidRPr="008B6F6F">
        <w:rPr>
          <w:rFonts w:eastAsia="Calibri"/>
          <w:sz w:val="22"/>
          <w:szCs w:val="22"/>
          <w:lang w:val="pt-BR"/>
        </w:rPr>
        <w:t>BllCompras</w:t>
      </w:r>
      <w:proofErr w:type="spellEnd"/>
      <w:r w:rsidRPr="008B6F6F">
        <w:rPr>
          <w:rFonts w:eastAsia="Calibri"/>
          <w:sz w:val="22"/>
          <w:szCs w:val="22"/>
          <w:lang w:val="pt-BR"/>
        </w:rPr>
        <w:t xml:space="preserve">, </w:t>
      </w:r>
      <w:proofErr w:type="spellStart"/>
      <w:r w:rsidRPr="008B6F6F">
        <w:rPr>
          <w:rFonts w:eastAsia="Calibri"/>
          <w:sz w:val="22"/>
          <w:szCs w:val="22"/>
          <w:lang w:val="pt-BR"/>
        </w:rPr>
        <w:t>Siap</w:t>
      </w:r>
      <w:proofErr w:type="spellEnd"/>
      <w:r w:rsidRPr="008B6F6F">
        <w:rPr>
          <w:rFonts w:eastAsia="Calibri"/>
          <w:sz w:val="22"/>
          <w:szCs w:val="22"/>
          <w:lang w:val="pt-BR"/>
        </w:rPr>
        <w:t>, entre outros.</w:t>
      </w:r>
    </w:p>
    <w:p w14:paraId="013CA64D" w14:textId="77241C40" w:rsidR="00C13998" w:rsidRPr="00F61118" w:rsidRDefault="001A27B9" w:rsidP="00390D73">
      <w:pPr>
        <w:pStyle w:val="PargrafodaLista"/>
        <w:numPr>
          <w:ilvl w:val="1"/>
          <w:numId w:val="7"/>
        </w:numPr>
        <w:tabs>
          <w:tab w:val="left" w:pos="0"/>
          <w:tab w:val="left" w:pos="142"/>
        </w:tabs>
        <w:spacing w:line="360" w:lineRule="auto"/>
        <w:ind w:left="0" w:firstLine="0"/>
        <w:jc w:val="both"/>
        <w:rPr>
          <w:sz w:val="22"/>
          <w:szCs w:val="22"/>
        </w:rPr>
      </w:pPr>
      <w:r w:rsidRPr="00F61118">
        <w:rPr>
          <w:rFonts w:eastAsia="Calibri"/>
          <w:sz w:val="22"/>
          <w:szCs w:val="22"/>
        </w:rPr>
        <w:t>Não será admitida a subcontratação do objeto contratual.</w:t>
      </w:r>
    </w:p>
    <w:p w14:paraId="7AEDC73F" w14:textId="3165CCF4" w:rsidR="00030932" w:rsidRPr="00F61118" w:rsidRDefault="00030932" w:rsidP="00390D73">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haverá exigência da garantia da contratação dos </w:t>
      </w:r>
      <w:proofErr w:type="spellStart"/>
      <w:r w:rsidRPr="00F61118">
        <w:rPr>
          <w:rFonts w:eastAsia="Calibri"/>
          <w:sz w:val="22"/>
          <w:szCs w:val="22"/>
        </w:rPr>
        <w:t>arts</w:t>
      </w:r>
      <w:proofErr w:type="spellEnd"/>
      <w:r w:rsidRPr="00F61118">
        <w:rPr>
          <w:rFonts w:eastAsia="Calibri"/>
          <w:sz w:val="22"/>
          <w:szCs w:val="22"/>
        </w:rPr>
        <w:t>. 96 e seguintes da Lei nº 14.133/21</w:t>
      </w:r>
      <w:r w:rsidRPr="00F61118">
        <w:rPr>
          <w:rFonts w:eastAsia="Calibri"/>
          <w:sz w:val="22"/>
          <w:szCs w:val="22"/>
          <w:lang w:val="pt-BR"/>
        </w:rPr>
        <w:t>.</w:t>
      </w:r>
    </w:p>
    <w:p w14:paraId="1D73135B" w14:textId="556E48D1"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Pr>
          <w:rFonts w:eastAsia="Calibri"/>
          <w:sz w:val="22"/>
          <w:szCs w:val="22"/>
          <w:lang w:val="pt-BR"/>
        </w:rPr>
        <w:t>07</w:t>
      </w:r>
      <w:r w:rsidRPr="00390D73">
        <w:rPr>
          <w:rFonts w:eastAsia="Calibri"/>
          <w:sz w:val="22"/>
          <w:szCs w:val="22"/>
          <w:lang w:val="pt-BR"/>
        </w:rPr>
        <w:t xml:space="preserve"> horas às </w:t>
      </w:r>
      <w:r>
        <w:rPr>
          <w:rFonts w:eastAsia="Calibri"/>
          <w:sz w:val="22"/>
          <w:szCs w:val="22"/>
          <w:lang w:val="pt-BR"/>
        </w:rPr>
        <w:t xml:space="preserve">12 </w:t>
      </w:r>
      <w:r w:rsidRPr="00390D73">
        <w:rPr>
          <w:rFonts w:eastAsia="Calibri"/>
          <w:sz w:val="22"/>
          <w:szCs w:val="22"/>
          <w:lang w:val="pt-BR"/>
        </w:rPr>
        <w:t xml:space="preserve">horas.  </w:t>
      </w:r>
    </w:p>
    <w:p w14:paraId="62BA48EC" w14:textId="77777777"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Serão disponibilizados data e horário diferentes aos interessados em realizar a vistoria prévia. </w:t>
      </w:r>
    </w:p>
    <w:p w14:paraId="1F8C6EC9" w14:textId="77777777" w:rsidR="00390D73" w:rsidRPr="00390D73" w:rsidRDefault="00390D73" w:rsidP="00390D73">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66428AA1" w14:textId="3D095125" w:rsidR="00390D73" w:rsidRPr="00390D73" w:rsidRDefault="00390D73" w:rsidP="00217330">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lastRenderedPageBreak/>
        <w:t xml:space="preserve"> Caso o licitante opte por não realizar a vistoria, deverá prestar declaração formal assinada pelo responsável técnico do licitante acerca do conhecimento pleno das condições e peculiaridades da contratação. </w:t>
      </w:r>
    </w:p>
    <w:p w14:paraId="29747CBE" w14:textId="286FB21C" w:rsidR="007A5E0C" w:rsidRPr="003C56F8" w:rsidRDefault="00390D73" w:rsidP="003C56F8">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390D73">
        <w:rPr>
          <w:rFonts w:eastAsia="Calibri"/>
          <w:sz w:val="22"/>
          <w:szCs w:val="22"/>
          <w:lang w:val="pt-BR"/>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DF3C2A" w14:textId="13CBF19C" w:rsidR="00D61F7E" w:rsidRPr="00F61118" w:rsidRDefault="00AC0437" w:rsidP="00F41DEC">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673A5131" w:rsidR="001C3198" w:rsidRPr="00F61118" w:rsidRDefault="001F7DFB" w:rsidP="00F41DEC">
      <w:pPr>
        <w:pStyle w:val="PargrafodaLista"/>
        <w:numPr>
          <w:ilvl w:val="1"/>
          <w:numId w:val="15"/>
        </w:numPr>
        <w:tabs>
          <w:tab w:val="left" w:pos="0"/>
          <w:tab w:val="left" w:pos="142"/>
        </w:tabs>
        <w:spacing w:line="360" w:lineRule="auto"/>
        <w:ind w:left="0" w:firstLine="0"/>
        <w:jc w:val="both"/>
        <w:rPr>
          <w:sz w:val="22"/>
          <w:szCs w:val="22"/>
        </w:rPr>
      </w:pPr>
      <w:r>
        <w:rPr>
          <w:sz w:val="22"/>
          <w:szCs w:val="22"/>
          <w:lang w:val="pt-BR"/>
        </w:rPr>
        <w:t>Início da execução do objeto imediato.</w:t>
      </w:r>
    </w:p>
    <w:p w14:paraId="5B20E59D" w14:textId="24CC746E" w:rsidR="00E2708F" w:rsidRPr="00F61118" w:rsidRDefault="00203B1D" w:rsidP="00F41DEC">
      <w:pPr>
        <w:pStyle w:val="PargrafodaLista"/>
        <w:numPr>
          <w:ilvl w:val="1"/>
          <w:numId w:val="15"/>
        </w:numPr>
        <w:tabs>
          <w:tab w:val="left" w:pos="0"/>
          <w:tab w:val="left" w:pos="142"/>
        </w:tabs>
        <w:spacing w:line="360" w:lineRule="auto"/>
        <w:ind w:left="0" w:firstLine="0"/>
        <w:jc w:val="both"/>
        <w:rPr>
          <w:sz w:val="22"/>
          <w:szCs w:val="22"/>
        </w:rPr>
      </w:pPr>
      <w:r>
        <w:rPr>
          <w:sz w:val="22"/>
          <w:szCs w:val="22"/>
          <w:lang w:val="pt-BR"/>
        </w:rPr>
        <w:t xml:space="preserve">Os serviços serão prestados </w:t>
      </w:r>
      <w:r w:rsidR="00E2708F" w:rsidRPr="00F61118">
        <w:rPr>
          <w:sz w:val="22"/>
          <w:szCs w:val="22"/>
        </w:rPr>
        <w:t>no seguinte endereço</w:t>
      </w:r>
      <w:r w:rsidR="00E2708F" w:rsidRPr="00F61118">
        <w:rPr>
          <w:sz w:val="22"/>
          <w:szCs w:val="22"/>
          <w:lang w:val="pt-BR"/>
        </w:rPr>
        <w:t>:</w:t>
      </w:r>
    </w:p>
    <w:p w14:paraId="50597501"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da Prefeitura Municipal localizado na Praça Getúlio Vargas, 21 Centro;</w:t>
      </w:r>
    </w:p>
    <w:p w14:paraId="366ACCA7"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Secretaria Municipal de Saúde localizado na Rua da Saudade, 26 Centro;</w:t>
      </w:r>
    </w:p>
    <w:p w14:paraId="5CB5FED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Ponto de Atendimento do INSS e Policia Civil localizado na Rua Jovelina Maciel, 67 Centro;</w:t>
      </w:r>
    </w:p>
    <w:p w14:paraId="5309F62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Secretaria Municipal de Obras, Serviços Urbanos e Transportes localizado Rua do Campo, 82 Cidade Nova;</w:t>
      </w:r>
    </w:p>
    <w:p w14:paraId="1D697537" w14:textId="77777777" w:rsidR="007336C3" w:rsidRPr="007336C3" w:rsidRDefault="00203B1D" w:rsidP="00966F1A">
      <w:pPr>
        <w:pStyle w:val="PargrafodaLista"/>
        <w:numPr>
          <w:ilvl w:val="2"/>
          <w:numId w:val="17"/>
        </w:numPr>
        <w:tabs>
          <w:tab w:val="left" w:pos="0"/>
          <w:tab w:val="left" w:pos="142"/>
        </w:tabs>
        <w:spacing w:line="360" w:lineRule="auto"/>
        <w:ind w:left="0" w:firstLine="0"/>
        <w:jc w:val="both"/>
        <w:rPr>
          <w:sz w:val="22"/>
          <w:szCs w:val="22"/>
        </w:rPr>
      </w:pPr>
      <w:r w:rsidRPr="007336C3">
        <w:rPr>
          <w:sz w:val="22"/>
          <w:szCs w:val="22"/>
        </w:rPr>
        <w:t>Secretaria Municipal de Assistência Social localizado na Praça Edmilson de Paula, 127 Centro;</w:t>
      </w:r>
      <w:r w:rsidR="007336C3" w:rsidRPr="007336C3">
        <w:rPr>
          <w:sz w:val="22"/>
          <w:szCs w:val="22"/>
          <w:lang w:val="pt-BR"/>
        </w:rPr>
        <w:t xml:space="preserve"> </w:t>
      </w:r>
    </w:p>
    <w:p w14:paraId="2A0B2AF6" w14:textId="17366911" w:rsidR="00203B1D" w:rsidRPr="007336C3" w:rsidRDefault="00203B1D" w:rsidP="00966F1A">
      <w:pPr>
        <w:pStyle w:val="PargrafodaLista"/>
        <w:numPr>
          <w:ilvl w:val="2"/>
          <w:numId w:val="17"/>
        </w:numPr>
        <w:tabs>
          <w:tab w:val="left" w:pos="0"/>
          <w:tab w:val="left" w:pos="142"/>
        </w:tabs>
        <w:spacing w:line="360" w:lineRule="auto"/>
        <w:ind w:left="0" w:firstLine="0"/>
        <w:jc w:val="both"/>
        <w:rPr>
          <w:sz w:val="22"/>
          <w:szCs w:val="22"/>
        </w:rPr>
      </w:pPr>
      <w:r w:rsidRPr="007336C3">
        <w:rPr>
          <w:sz w:val="22"/>
          <w:szCs w:val="22"/>
        </w:rPr>
        <w:t>Secretaria Municipal de Desenvolvimento Agrário e Meio Ambiente localizado na Rua dos Esportes, 33 Centro;</w:t>
      </w:r>
    </w:p>
    <w:p w14:paraId="7E53F013"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Farmácia Municipal localizado na Rua </w:t>
      </w:r>
      <w:proofErr w:type="spellStart"/>
      <w:r w:rsidRPr="00203B1D">
        <w:rPr>
          <w:sz w:val="22"/>
          <w:szCs w:val="22"/>
        </w:rPr>
        <w:t>Elieser</w:t>
      </w:r>
      <w:proofErr w:type="spellEnd"/>
      <w:r w:rsidRPr="00203B1D">
        <w:rPr>
          <w:sz w:val="22"/>
          <w:szCs w:val="22"/>
        </w:rPr>
        <w:t xml:space="preserve"> Pinheiro, 549 Centro; </w:t>
      </w:r>
    </w:p>
    <w:p w14:paraId="3E3593F8"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do Conselho Tutelar localizado na Praça Edmilson de Paula, 05 Centro;</w:t>
      </w:r>
    </w:p>
    <w:p w14:paraId="5732B359"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da ONG Menina Dança localizado Rua Palmeiras, 41 Altamira</w:t>
      </w:r>
    </w:p>
    <w:p w14:paraId="4CD8D334"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Sede do Centro de Atenção Psicossocial – CAPS localizado na Rua Palmeiras, 41 Altamira;</w:t>
      </w:r>
    </w:p>
    <w:p w14:paraId="78A05AA2"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PSF Central localizado na Rua Eliezer Pinheiro, 592 Cidade Nova;</w:t>
      </w:r>
    </w:p>
    <w:p w14:paraId="225D8141" w14:textId="4EBA7F1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Secretaria Municipal de Educação localizado na Rua </w:t>
      </w:r>
      <w:proofErr w:type="spellStart"/>
      <w:r w:rsidRPr="00203B1D">
        <w:rPr>
          <w:sz w:val="22"/>
          <w:szCs w:val="22"/>
        </w:rPr>
        <w:t>Elieser</w:t>
      </w:r>
      <w:proofErr w:type="spellEnd"/>
      <w:r w:rsidRPr="00203B1D">
        <w:rPr>
          <w:sz w:val="22"/>
          <w:szCs w:val="22"/>
        </w:rPr>
        <w:t xml:space="preserve"> Pinheiro, 247 Saudade;</w:t>
      </w:r>
    </w:p>
    <w:p w14:paraId="63AA7377" w14:textId="7C096AC4" w:rsidR="00002749" w:rsidRDefault="00002749" w:rsidP="00F41DEC">
      <w:pPr>
        <w:pStyle w:val="PargrafodaLista"/>
        <w:numPr>
          <w:ilvl w:val="2"/>
          <w:numId w:val="17"/>
        </w:numPr>
        <w:tabs>
          <w:tab w:val="left" w:pos="0"/>
          <w:tab w:val="left" w:pos="142"/>
        </w:tabs>
        <w:spacing w:line="360" w:lineRule="auto"/>
        <w:ind w:left="0" w:firstLine="0"/>
        <w:jc w:val="both"/>
        <w:rPr>
          <w:sz w:val="22"/>
          <w:szCs w:val="22"/>
        </w:rPr>
      </w:pPr>
      <w:r>
        <w:rPr>
          <w:sz w:val="22"/>
          <w:szCs w:val="22"/>
          <w:lang w:val="pt-BR"/>
        </w:rPr>
        <w:t>Posto de Saúde localizado na Rua da Saudade, 26 Centro;</w:t>
      </w:r>
    </w:p>
    <w:p w14:paraId="5B284A1E"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PSF dos Porfírios localizado na Comunidade dos Porfírios, Zona Rural;</w:t>
      </w:r>
    </w:p>
    <w:p w14:paraId="61FBA857"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PSF de </w:t>
      </w:r>
      <w:proofErr w:type="spellStart"/>
      <w:r w:rsidRPr="00203B1D">
        <w:rPr>
          <w:sz w:val="22"/>
          <w:szCs w:val="22"/>
        </w:rPr>
        <w:t>Jenipapinho</w:t>
      </w:r>
      <w:proofErr w:type="spellEnd"/>
      <w:r w:rsidRPr="00203B1D">
        <w:rPr>
          <w:sz w:val="22"/>
          <w:szCs w:val="22"/>
        </w:rPr>
        <w:t xml:space="preserve"> localizado na Comunidade dos </w:t>
      </w:r>
      <w:proofErr w:type="spellStart"/>
      <w:r w:rsidRPr="00203B1D">
        <w:rPr>
          <w:sz w:val="22"/>
          <w:szCs w:val="22"/>
        </w:rPr>
        <w:t>Jenipapinho</w:t>
      </w:r>
      <w:proofErr w:type="spellEnd"/>
      <w:r w:rsidRPr="00203B1D">
        <w:rPr>
          <w:sz w:val="22"/>
          <w:szCs w:val="22"/>
        </w:rPr>
        <w:t>, Zona Rural;</w:t>
      </w:r>
    </w:p>
    <w:p w14:paraId="76C8D3D1"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 xml:space="preserve">PSF dos </w:t>
      </w:r>
      <w:proofErr w:type="spellStart"/>
      <w:r w:rsidRPr="00203B1D">
        <w:rPr>
          <w:sz w:val="22"/>
          <w:szCs w:val="22"/>
        </w:rPr>
        <w:t>Jenipapão</w:t>
      </w:r>
      <w:proofErr w:type="spellEnd"/>
      <w:r w:rsidRPr="00203B1D">
        <w:rPr>
          <w:sz w:val="22"/>
          <w:szCs w:val="22"/>
        </w:rPr>
        <w:t xml:space="preserve"> localizado na Comunidade dos </w:t>
      </w:r>
      <w:proofErr w:type="spellStart"/>
      <w:r w:rsidRPr="00203B1D">
        <w:rPr>
          <w:sz w:val="22"/>
          <w:szCs w:val="22"/>
        </w:rPr>
        <w:t>Jenipapão</w:t>
      </w:r>
      <w:proofErr w:type="spellEnd"/>
      <w:r w:rsidRPr="00203B1D">
        <w:rPr>
          <w:sz w:val="22"/>
          <w:szCs w:val="22"/>
        </w:rPr>
        <w:t>, Zona Rural;</w:t>
      </w:r>
    </w:p>
    <w:p w14:paraId="186F2375"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 Fumaça localizado na Comunidade da Fumaça, Zona Rural;</w:t>
      </w:r>
    </w:p>
    <w:p w14:paraId="34FB2E5F"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 Santana localizado na Comunidade da Santana, Zona Rural;</w:t>
      </w:r>
    </w:p>
    <w:p w14:paraId="2B3C6393" w14:textId="77777777" w:rsidR="00203B1D" w:rsidRDefault="00203B1D" w:rsidP="00F41DEC">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do Funil localizado na Comunidade da Funil, Zona Rural;</w:t>
      </w:r>
    </w:p>
    <w:p w14:paraId="08B413AF" w14:textId="77777777" w:rsidR="00203B1D" w:rsidRDefault="00203B1D" w:rsidP="006F58F1">
      <w:pPr>
        <w:pStyle w:val="PargrafodaLista"/>
        <w:numPr>
          <w:ilvl w:val="2"/>
          <w:numId w:val="17"/>
        </w:numPr>
        <w:tabs>
          <w:tab w:val="left" w:pos="0"/>
          <w:tab w:val="left" w:pos="142"/>
        </w:tabs>
        <w:spacing w:line="360" w:lineRule="auto"/>
        <w:ind w:left="0" w:firstLine="0"/>
        <w:jc w:val="both"/>
        <w:rPr>
          <w:sz w:val="22"/>
          <w:szCs w:val="22"/>
        </w:rPr>
      </w:pPr>
      <w:r w:rsidRPr="00203B1D">
        <w:rPr>
          <w:sz w:val="22"/>
          <w:szCs w:val="22"/>
        </w:rPr>
        <w:t>Unidade de Saúde das Manilhas localizado na Comunidade das Manilhas, Zona Rural;</w:t>
      </w:r>
    </w:p>
    <w:p w14:paraId="79962649" w14:textId="77777777" w:rsidR="00F41DEC" w:rsidRPr="00F41DEC" w:rsidRDefault="00F41DEC" w:rsidP="006F58F1">
      <w:pPr>
        <w:pStyle w:val="PargrafodaLista"/>
        <w:numPr>
          <w:ilvl w:val="1"/>
          <w:numId w:val="17"/>
        </w:numPr>
        <w:tabs>
          <w:tab w:val="left" w:pos="0"/>
          <w:tab w:val="left" w:pos="142"/>
        </w:tabs>
        <w:spacing w:line="360" w:lineRule="auto"/>
        <w:ind w:left="0" w:firstLine="0"/>
        <w:jc w:val="both"/>
        <w:rPr>
          <w:iCs/>
          <w:sz w:val="22"/>
          <w:szCs w:val="22"/>
        </w:rPr>
      </w:pPr>
      <w:r w:rsidRPr="00F41DEC">
        <w:rPr>
          <w:iCs/>
          <w:sz w:val="22"/>
          <w:szCs w:val="22"/>
        </w:rPr>
        <w:t xml:space="preserve">Os acessos à internet solicitados devem ser entregues operacionais, atendendo às especificações deste Anexo e conectados nos equipamentos (microcomputadores, switches ou </w:t>
      </w:r>
      <w:proofErr w:type="spellStart"/>
      <w:r w:rsidRPr="00F41DEC">
        <w:rPr>
          <w:iCs/>
          <w:sz w:val="22"/>
          <w:szCs w:val="22"/>
        </w:rPr>
        <w:t>access</w:t>
      </w:r>
      <w:proofErr w:type="spellEnd"/>
      <w:r w:rsidRPr="00F41DEC">
        <w:rPr>
          <w:iCs/>
          <w:sz w:val="22"/>
          <w:szCs w:val="22"/>
        </w:rPr>
        <w:t xml:space="preserve"> points) fornecidos pelo Município de Catuji, através de cabo de rede padrão Ethernet UTP com conectores RJ 45;</w:t>
      </w:r>
    </w:p>
    <w:p w14:paraId="566123DB" w14:textId="49FBAF9A" w:rsidR="00E33FAB" w:rsidRDefault="001A253A" w:rsidP="0051599E">
      <w:pPr>
        <w:pStyle w:val="PargrafodaLista"/>
        <w:numPr>
          <w:ilvl w:val="1"/>
          <w:numId w:val="17"/>
        </w:numPr>
        <w:tabs>
          <w:tab w:val="left" w:pos="0"/>
          <w:tab w:val="left" w:pos="142"/>
        </w:tabs>
        <w:spacing w:line="360" w:lineRule="auto"/>
        <w:ind w:left="0" w:firstLine="0"/>
        <w:jc w:val="both"/>
        <w:rPr>
          <w:iCs/>
          <w:sz w:val="22"/>
          <w:szCs w:val="22"/>
        </w:rPr>
      </w:pPr>
      <w:r w:rsidRPr="001A253A">
        <w:rPr>
          <w:iCs/>
          <w:sz w:val="22"/>
          <w:szCs w:val="22"/>
        </w:rPr>
        <w:t>Suporte Técnico para o Link, deverá ser prestado em horário de expediente da Prefeitura (Manhã: 7h às 12h0min – Tarde: 13h30min às 16hs) com prazo máximo de 04 (quatro) horas para solução de problemas, após a abertura do chamado técnico. Sendo prorrogável por mais 02 (duas) horas, após o horário de expediente</w:t>
      </w:r>
      <w:r w:rsidR="00E33FAB">
        <w:rPr>
          <w:iCs/>
          <w:sz w:val="22"/>
          <w:szCs w:val="22"/>
          <w:lang w:val="pt-BR"/>
        </w:rPr>
        <w:t>.</w:t>
      </w:r>
    </w:p>
    <w:p w14:paraId="09BBC7F7" w14:textId="08DAF286" w:rsidR="00E33FAB" w:rsidRPr="00E33FAB" w:rsidRDefault="00E33FAB" w:rsidP="0051599E">
      <w:pPr>
        <w:pStyle w:val="PargrafodaLista"/>
        <w:numPr>
          <w:ilvl w:val="2"/>
          <w:numId w:val="17"/>
        </w:numPr>
        <w:tabs>
          <w:tab w:val="left" w:pos="0"/>
          <w:tab w:val="left" w:pos="142"/>
        </w:tabs>
        <w:spacing w:line="360" w:lineRule="auto"/>
        <w:ind w:left="0" w:firstLine="0"/>
        <w:jc w:val="both"/>
        <w:rPr>
          <w:iCs/>
          <w:sz w:val="22"/>
          <w:szCs w:val="22"/>
        </w:rPr>
      </w:pPr>
      <w:r w:rsidRPr="00E33FAB">
        <w:rPr>
          <w:bCs/>
          <w:iCs/>
          <w:sz w:val="22"/>
          <w:szCs w:val="22"/>
          <w:lang w:val="pt-BR"/>
        </w:rPr>
        <w:lastRenderedPageBreak/>
        <w:t>Após a abertura do chamado técnico, este deverá estar no local ou entrar em contato com a Prefeitura para fins de análise do problema em no máximo 45 minutos</w:t>
      </w:r>
      <w:r w:rsidR="00A935A6">
        <w:rPr>
          <w:bCs/>
          <w:iCs/>
          <w:sz w:val="22"/>
          <w:szCs w:val="22"/>
          <w:lang w:val="pt-BR"/>
        </w:rPr>
        <w:t>.</w:t>
      </w:r>
    </w:p>
    <w:p w14:paraId="289551C0" w14:textId="259B0E1A" w:rsidR="00F41DEC" w:rsidRPr="00F41DEC" w:rsidRDefault="00F41DEC" w:rsidP="0051599E">
      <w:pPr>
        <w:pStyle w:val="PargrafodaLista"/>
        <w:numPr>
          <w:ilvl w:val="1"/>
          <w:numId w:val="17"/>
        </w:numPr>
        <w:tabs>
          <w:tab w:val="left" w:pos="0"/>
          <w:tab w:val="left" w:pos="142"/>
        </w:tabs>
        <w:spacing w:line="360" w:lineRule="auto"/>
        <w:ind w:left="0" w:firstLine="0"/>
        <w:jc w:val="both"/>
        <w:rPr>
          <w:iCs/>
          <w:sz w:val="22"/>
          <w:szCs w:val="22"/>
        </w:rPr>
      </w:pPr>
      <w:r w:rsidRPr="00F41DEC">
        <w:rPr>
          <w:iCs/>
          <w:sz w:val="22"/>
          <w:szCs w:val="22"/>
        </w:rPr>
        <w:t>Os serviços deverão estar disponíveis 24 horas por dia, 7 dias por semana em todos os dias do ano e ainda:</w:t>
      </w:r>
    </w:p>
    <w:p w14:paraId="6633BDD2"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F41DEC">
        <w:rPr>
          <w:iCs/>
          <w:sz w:val="22"/>
          <w:szCs w:val="22"/>
        </w:rPr>
        <w:t xml:space="preserve">Será exigência a latência ideal para o envio e recebimento de dados junto ao Servidor do Município de Catuji. </w:t>
      </w:r>
    </w:p>
    <w:p w14:paraId="6D53B6BB" w14:textId="32CC56D6" w:rsidR="00494C79" w:rsidRDefault="001A253A" w:rsidP="00A6330C">
      <w:pPr>
        <w:pStyle w:val="PargrafodaLista"/>
        <w:numPr>
          <w:ilvl w:val="2"/>
          <w:numId w:val="17"/>
        </w:numPr>
        <w:tabs>
          <w:tab w:val="left" w:pos="0"/>
          <w:tab w:val="left" w:pos="142"/>
        </w:tabs>
        <w:spacing w:line="360" w:lineRule="auto"/>
        <w:ind w:left="0" w:firstLine="0"/>
        <w:jc w:val="both"/>
        <w:rPr>
          <w:iCs/>
          <w:sz w:val="22"/>
          <w:szCs w:val="22"/>
        </w:rPr>
      </w:pPr>
      <w:r w:rsidRPr="001A253A">
        <w:rPr>
          <w:iCs/>
          <w:sz w:val="22"/>
          <w:szCs w:val="22"/>
        </w:rPr>
        <w:t>Velocidade instantânea mínima de, no mínimo, 40% (quarenta por cento) da velocidade máxima contratada em qualquer momento de uso e Velocidade média mínima de, no mínimo, 80% (oitenta por cento) da velocidade máxima contratada, calculada com base na média das medições realizadas ao longo de um mês. Os serviços a serem prestados deverão atender às normas e recomendações da ANATEL e de outros órgãos oficiais</w:t>
      </w:r>
      <w:r w:rsidR="00F41DEC" w:rsidRPr="00494C79">
        <w:rPr>
          <w:iCs/>
          <w:sz w:val="22"/>
          <w:szCs w:val="22"/>
        </w:rPr>
        <w:t xml:space="preserve">. </w:t>
      </w:r>
    </w:p>
    <w:p w14:paraId="0B90CB0C" w14:textId="1D8408D6" w:rsidR="00C846BB" w:rsidRPr="00494C79" w:rsidRDefault="00F41DEC" w:rsidP="00A6330C">
      <w:pPr>
        <w:pStyle w:val="PargrafodaLista"/>
        <w:numPr>
          <w:ilvl w:val="2"/>
          <w:numId w:val="17"/>
        </w:numPr>
        <w:tabs>
          <w:tab w:val="left" w:pos="0"/>
          <w:tab w:val="left" w:pos="142"/>
        </w:tabs>
        <w:spacing w:line="360" w:lineRule="auto"/>
        <w:ind w:left="0" w:firstLine="0"/>
        <w:jc w:val="both"/>
        <w:rPr>
          <w:iCs/>
          <w:sz w:val="22"/>
          <w:szCs w:val="22"/>
        </w:rPr>
      </w:pPr>
      <w:r w:rsidRPr="00494C79">
        <w:rPr>
          <w:iCs/>
          <w:sz w:val="22"/>
          <w:szCs w:val="22"/>
        </w:rPr>
        <w:t xml:space="preserve">Garantia de link de internet com redundância, haja vista que se a conexão vir apresentar problemas, automaticamente usa-se a redundância para dar continuidade no processo que teria sido paralisado. O tempo máximo para que a conexão principal volte ao seu estado normal será de no máximo 10 minutos. </w:t>
      </w:r>
    </w:p>
    <w:p w14:paraId="767DB6AB"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Os aparelhos necessários à instalação do objeto desta licitação deverão ser entregues e instalados nos locais indicados acima no prazo de 15 (quinze) dias. Instalados os aparelhos, a equipe composta de técnicos do licitante vencedor efetuará os testes de conformidade e verificação final. </w:t>
      </w:r>
    </w:p>
    <w:p w14:paraId="09066952"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Todos os equipamentos e serviços necessários para a instalação, incluindo a configuração e balanceamento de links, quando for o caso, serão fornecidos pela contratada. </w:t>
      </w:r>
    </w:p>
    <w:p w14:paraId="10B2B4C6"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 xml:space="preserve">Havendo alguma eventual paralisação do serviço de acesso IP, o licitante vencedor se compromete a realizar as correções necessárias à reativação dos Links do serviço de acesso IP (entende-se por reativação do serviço de acesso IP a série de procedimentos destinados a recolocar estes serviços em seu perfeito estado de uso, compreendendo inclusive, substituição de equipamentos, ajustes e reparos nos equipamentos) e caso venha a ocorrer queda da conexão solicitada, a empresa contratada deverá enviar suporte no local em no máximo 10 minutos após a abertura do chamado e o problema com a conexão deverá ser solucionado 10 minutos após a chegada do Suporte Técnico no local. </w:t>
      </w:r>
    </w:p>
    <w:p w14:paraId="059787EA" w14:textId="7777777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Deverá estar incluso na proposta o valor de instalação.</w:t>
      </w:r>
    </w:p>
    <w:p w14:paraId="57F45CEE" w14:textId="6207A707" w:rsid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t>A empresa deverá apresentar documentação comprovando possuir disponibilidade de sinal de internet em todas as localidades onde deverão ser prestados os serviços conforme este termo de referência.</w:t>
      </w:r>
    </w:p>
    <w:p w14:paraId="5A9FB2E0" w14:textId="364DC5A8" w:rsidR="001F09C0" w:rsidRPr="00F63386" w:rsidRDefault="00F63386" w:rsidP="006F58F1">
      <w:pPr>
        <w:pStyle w:val="PargrafodaLista"/>
        <w:numPr>
          <w:ilvl w:val="2"/>
          <w:numId w:val="17"/>
        </w:numPr>
        <w:tabs>
          <w:tab w:val="left" w:pos="0"/>
          <w:tab w:val="left" w:pos="142"/>
        </w:tabs>
        <w:spacing w:line="360" w:lineRule="auto"/>
        <w:ind w:left="0" w:firstLine="0"/>
        <w:jc w:val="both"/>
        <w:rPr>
          <w:iCs/>
          <w:sz w:val="22"/>
          <w:szCs w:val="22"/>
        </w:rPr>
      </w:pPr>
      <w:r w:rsidRPr="00F63386">
        <w:rPr>
          <w:iCs/>
          <w:sz w:val="22"/>
          <w:szCs w:val="22"/>
        </w:rPr>
        <w:t>Prover uma conectividade à Internet, com taxa de transmissão conforme quantidade de Mbps full duplex, isto é, a taxa de transmissão fornecida deverá suportar os Mbps de tráfego de entrada em igual quantidade de tráfego de saída, simultaneamente</w:t>
      </w:r>
      <w:r>
        <w:rPr>
          <w:iCs/>
          <w:sz w:val="22"/>
          <w:szCs w:val="22"/>
          <w:lang w:val="pt-BR"/>
        </w:rPr>
        <w:t>.</w:t>
      </w:r>
    </w:p>
    <w:p w14:paraId="60A49D57" w14:textId="1BAF16A7" w:rsidR="00F63386" w:rsidRDefault="00F63386" w:rsidP="006F58F1">
      <w:pPr>
        <w:pStyle w:val="PargrafodaLista"/>
        <w:numPr>
          <w:ilvl w:val="2"/>
          <w:numId w:val="17"/>
        </w:numPr>
        <w:tabs>
          <w:tab w:val="left" w:pos="0"/>
          <w:tab w:val="left" w:pos="142"/>
        </w:tabs>
        <w:spacing w:line="360" w:lineRule="auto"/>
        <w:ind w:left="0" w:firstLine="0"/>
        <w:jc w:val="both"/>
        <w:rPr>
          <w:iCs/>
          <w:sz w:val="22"/>
          <w:szCs w:val="22"/>
        </w:rPr>
      </w:pPr>
      <w:r w:rsidRPr="00F63386">
        <w:rPr>
          <w:iCs/>
          <w:sz w:val="22"/>
          <w:szCs w:val="22"/>
        </w:rPr>
        <w:t>A taxa de transmissão deverá sempre estar disponível na totalidade do fluxo contratado</w:t>
      </w:r>
      <w:r>
        <w:rPr>
          <w:iCs/>
          <w:sz w:val="22"/>
          <w:szCs w:val="22"/>
          <w:lang w:val="pt-BR"/>
        </w:rPr>
        <w:t>.</w:t>
      </w:r>
    </w:p>
    <w:p w14:paraId="19312C01" w14:textId="22DFEE43" w:rsidR="00F41DEC" w:rsidRPr="00C846BB" w:rsidRDefault="00F41DEC" w:rsidP="006F58F1">
      <w:pPr>
        <w:pStyle w:val="PargrafodaLista"/>
        <w:numPr>
          <w:ilvl w:val="1"/>
          <w:numId w:val="17"/>
        </w:numPr>
        <w:tabs>
          <w:tab w:val="left" w:pos="0"/>
          <w:tab w:val="left" w:pos="142"/>
        </w:tabs>
        <w:spacing w:line="360" w:lineRule="auto"/>
        <w:ind w:left="0" w:firstLine="0"/>
        <w:jc w:val="both"/>
        <w:rPr>
          <w:iCs/>
          <w:sz w:val="22"/>
          <w:szCs w:val="22"/>
        </w:rPr>
      </w:pPr>
      <w:r w:rsidRPr="00C846BB">
        <w:rPr>
          <w:iCs/>
          <w:sz w:val="22"/>
          <w:szCs w:val="22"/>
        </w:rPr>
        <w:t>Da Interrupção</w:t>
      </w:r>
    </w:p>
    <w:p w14:paraId="0E71F40A" w14:textId="53690F02" w:rsidR="00F41DEC" w:rsidRPr="00F41DEC"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F41DEC">
        <w:rPr>
          <w:iCs/>
          <w:sz w:val="22"/>
          <w:szCs w:val="22"/>
        </w:rPr>
        <w:t>Considerar-se-á um link indisponível quando:</w:t>
      </w:r>
    </w:p>
    <w:p w14:paraId="67E9E3EA"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F41DEC">
        <w:rPr>
          <w:iCs/>
          <w:sz w:val="22"/>
          <w:szCs w:val="22"/>
        </w:rPr>
        <w:t>for constatada taxa de erros superior a 10-7, em um período contínuo de 30 (trinta) minutos;</w:t>
      </w:r>
    </w:p>
    <w:p w14:paraId="1B75C672"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houver uma perda de pacotes superior a 2% num período contínuo de 30 (trinta) minutos;</w:t>
      </w:r>
    </w:p>
    <w:p w14:paraId="1BB9F9F8" w14:textId="7DD6C9A4" w:rsidR="00C846BB" w:rsidRPr="00C846BB" w:rsidRDefault="00F41DEC" w:rsidP="006F58F1">
      <w:pPr>
        <w:pStyle w:val="PargrafodaLista"/>
        <w:numPr>
          <w:ilvl w:val="2"/>
          <w:numId w:val="17"/>
        </w:numPr>
        <w:tabs>
          <w:tab w:val="left" w:pos="0"/>
          <w:tab w:val="left" w:pos="142"/>
        </w:tabs>
        <w:spacing w:line="360" w:lineRule="auto"/>
        <w:ind w:left="0" w:firstLine="0"/>
        <w:jc w:val="both"/>
        <w:rPr>
          <w:iCs/>
          <w:sz w:val="22"/>
          <w:szCs w:val="22"/>
        </w:rPr>
      </w:pPr>
      <w:r w:rsidRPr="00C846BB">
        <w:rPr>
          <w:iCs/>
          <w:sz w:val="22"/>
          <w:szCs w:val="22"/>
        </w:rPr>
        <w:lastRenderedPageBreak/>
        <w:t>O prazo máximo para reparo/restabelecimento dos acessos será de 02 (duas) horas, após a abertura do chamado técnico para registro da indisponibilidade do serviço;</w:t>
      </w:r>
    </w:p>
    <w:p w14:paraId="208A5310"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Interrupções programadas, para manutenção preventiva ou atualização dos recursos técnicos utilizados na prestação do serviço, deverão ser comunicados com no mínimo 02 (dois) dias de antecedência as quais deverão ser agendadas com o pessoal técnico da CONTRATANTE para serem efetuadas no período compreendido entre 00:00 e 06:00 horas, horário local, de domingo e/ou segunda-feira;</w:t>
      </w:r>
    </w:p>
    <w:p w14:paraId="1CFD4B6A"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O Provedor do serviço deverá garantir a banda contratada no circuito de acesso e o desempenho desta conexão entre a Contratante e o link do Provedor da Internet, que deverão ser comprovados através de relatórios estatísticos mensais e/ou testes de transmissão efetuados pela Contratada;</w:t>
      </w:r>
    </w:p>
    <w:p w14:paraId="7CD9EA89" w14:textId="77777777" w:rsidR="00C846BB" w:rsidRDefault="00F41DEC" w:rsidP="006F58F1">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Deverão ser efetuados testes de verificação de qualidade de transmissão quanto a Taxa de Erros e Perda de Pacotes, pelo Provedor do Serviço, sempre que houver solicitação da Contratante, sem custos adicionais;</w:t>
      </w:r>
    </w:p>
    <w:p w14:paraId="54C6925F" w14:textId="13E0CDC3" w:rsidR="00A935A6" w:rsidRDefault="00F41DEC" w:rsidP="008E16E9">
      <w:pPr>
        <w:pStyle w:val="PargrafodaLista"/>
        <w:numPr>
          <w:ilvl w:val="3"/>
          <w:numId w:val="17"/>
        </w:numPr>
        <w:tabs>
          <w:tab w:val="left" w:pos="0"/>
          <w:tab w:val="left" w:pos="142"/>
        </w:tabs>
        <w:spacing w:line="360" w:lineRule="auto"/>
        <w:ind w:left="0" w:firstLine="0"/>
        <w:jc w:val="both"/>
        <w:rPr>
          <w:iCs/>
          <w:sz w:val="22"/>
          <w:szCs w:val="22"/>
        </w:rPr>
      </w:pPr>
      <w:r w:rsidRPr="00C846BB">
        <w:rPr>
          <w:iCs/>
          <w:sz w:val="22"/>
          <w:szCs w:val="22"/>
        </w:rPr>
        <w:t>Mensalmente, o Provedor apurará os tempos de falha do circuito dedicado, considerando as ocorrências desde a zero hora do primeiro dia do mês até as vinte e quatro horas do último dia do mês anterior ao da apuração e o valor apurado será ressarcido à Contratante na fatura dos serviços com vencimento no mês seguinte ao da apuração.</w:t>
      </w:r>
    </w:p>
    <w:p w14:paraId="2D083D03" w14:textId="7D206E07" w:rsidR="008E16E9" w:rsidRDefault="00494C79" w:rsidP="008E16E9">
      <w:pPr>
        <w:pStyle w:val="PargrafodaLista"/>
        <w:numPr>
          <w:ilvl w:val="1"/>
          <w:numId w:val="17"/>
        </w:numPr>
        <w:tabs>
          <w:tab w:val="left" w:pos="0"/>
          <w:tab w:val="left" w:pos="142"/>
        </w:tabs>
        <w:spacing w:line="360" w:lineRule="auto"/>
        <w:ind w:left="0" w:firstLine="0"/>
        <w:jc w:val="both"/>
        <w:rPr>
          <w:iCs/>
          <w:sz w:val="22"/>
          <w:szCs w:val="22"/>
          <w:lang w:val="pt-BR"/>
        </w:rPr>
      </w:pPr>
      <w:r>
        <w:rPr>
          <w:iCs/>
          <w:sz w:val="22"/>
          <w:szCs w:val="22"/>
          <w:lang w:val="pt-BR"/>
        </w:rPr>
        <w:t>I</w:t>
      </w:r>
      <w:r w:rsidR="008E16E9">
        <w:rPr>
          <w:iCs/>
          <w:sz w:val="22"/>
          <w:szCs w:val="22"/>
          <w:lang w:val="pt-BR"/>
        </w:rPr>
        <w:t>nstalação do Link Dedicado:</w:t>
      </w:r>
    </w:p>
    <w:p w14:paraId="7B264FB9" w14:textId="279E955B" w:rsidR="00A935A6" w:rsidRPr="008E16E9" w:rsidRDefault="00A935A6" w:rsidP="008E16E9">
      <w:pPr>
        <w:pStyle w:val="PargrafodaLista"/>
        <w:numPr>
          <w:ilvl w:val="2"/>
          <w:numId w:val="17"/>
        </w:numPr>
        <w:tabs>
          <w:tab w:val="left" w:pos="0"/>
          <w:tab w:val="left" w:pos="142"/>
        </w:tabs>
        <w:spacing w:line="360" w:lineRule="auto"/>
        <w:ind w:left="0" w:firstLine="0"/>
        <w:jc w:val="both"/>
        <w:rPr>
          <w:iCs/>
          <w:sz w:val="22"/>
          <w:szCs w:val="22"/>
        </w:rPr>
      </w:pPr>
      <w:r w:rsidRPr="008E16E9">
        <w:rPr>
          <w:iCs/>
          <w:sz w:val="22"/>
          <w:szCs w:val="22"/>
        </w:rPr>
        <w:t xml:space="preserve">O Link Dedicado deverá ser instalado e configurado no </w:t>
      </w:r>
      <w:proofErr w:type="spellStart"/>
      <w:r w:rsidRPr="008E16E9">
        <w:rPr>
          <w:iCs/>
          <w:sz w:val="22"/>
          <w:szCs w:val="22"/>
        </w:rPr>
        <w:t>DataCenter</w:t>
      </w:r>
      <w:proofErr w:type="spellEnd"/>
      <w:r w:rsidRPr="008E16E9">
        <w:rPr>
          <w:iCs/>
          <w:sz w:val="22"/>
          <w:szCs w:val="22"/>
        </w:rPr>
        <w:t xml:space="preserve"> da Prefeitura Municipal, de modo que, todos os computadores das Redes da Prefeitura deverão acessar integralmente todos os serviços da Internet (Navegação, envio e recebimento de E-mails, FTP e todos os demais serviços) sem qualquer restrição ou distinção. Tudo deve ser providenciado antecipadamente e de forma programada para que os Servidores da Prefeitura possam ser devidamente configurados com os novos endereços IP e possam se manter em pleno funcionamento, sem quaisquer transtornos, tornando o processo de instalação o mais transparente possível os equipamentos necessários para a interligação (modems, roteadores, rádios, etc..) deverão ser fornecidos pela Contratada.</w:t>
      </w:r>
    </w:p>
    <w:p w14:paraId="501EF7C0" w14:textId="6A0458C5" w:rsidR="00E679B9" w:rsidRPr="00F61118" w:rsidRDefault="00E679B9" w:rsidP="008E16E9">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41DEC">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O órgão ou entidade poderá convocar representante da empresa para adoção de providências que devam ser cumpridas de imediato.</w:t>
      </w:r>
    </w:p>
    <w:p w14:paraId="627C25C8" w14:textId="2704B599" w:rsidR="00DE1052"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7AB77982" w14:textId="1A489170" w:rsidR="00F63386" w:rsidRPr="00F63386" w:rsidRDefault="00F63386"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3386">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r>
        <w:rPr>
          <w:rFonts w:eastAsia="Calibri"/>
          <w:sz w:val="22"/>
          <w:szCs w:val="22"/>
          <w:lang w:val="pt-BR"/>
        </w:rPr>
        <w:t>.</w:t>
      </w:r>
    </w:p>
    <w:p w14:paraId="6D00257D" w14:textId="4F0B8992" w:rsidR="00F63386" w:rsidRPr="00F61118" w:rsidRDefault="000244C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0244C2">
        <w:rPr>
          <w:rFonts w:eastAsia="Calibri"/>
          <w:sz w:val="22"/>
          <w:szCs w:val="22"/>
        </w:rPr>
        <w:t>A Contratante poderá recusar, desde que justificadamente, a indicação ou a manutenção do preposto da empresa, hipótese em que a Contratada designará outro para o exercício da atividade</w:t>
      </w:r>
      <w:r>
        <w:rPr>
          <w:rFonts w:eastAsia="Calibri"/>
          <w:sz w:val="22"/>
          <w:szCs w:val="22"/>
          <w:lang w:val="pt-BR"/>
        </w:rPr>
        <w:t>.</w:t>
      </w:r>
    </w:p>
    <w:p w14:paraId="4FC2504F"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F41DEC">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41DEC">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41DEC">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F61118">
        <w:rPr>
          <w:rFonts w:eastAsia="Calibri"/>
          <w:sz w:val="22"/>
          <w:szCs w:val="22"/>
        </w:rPr>
        <w:lastRenderedPageBreak/>
        <w:t xml:space="preserve">relatório com vistas à verificação da necessidade de adequações do contrato para fins de atendimento da finalidade da administração. </w:t>
      </w:r>
    </w:p>
    <w:p w14:paraId="1C87380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41DEC">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3F8BB13B" w14:textId="4A5DFB3E" w:rsidR="004835C7" w:rsidRPr="00851B0C" w:rsidRDefault="004835C7" w:rsidP="00851B0C">
      <w:pPr>
        <w:pStyle w:val="PargrafodaLista"/>
        <w:numPr>
          <w:ilvl w:val="1"/>
          <w:numId w:val="18"/>
        </w:numPr>
        <w:tabs>
          <w:tab w:val="left" w:pos="0"/>
          <w:tab w:val="left" w:pos="142"/>
        </w:tabs>
        <w:spacing w:line="360" w:lineRule="auto"/>
        <w:ind w:left="0" w:firstLine="0"/>
        <w:jc w:val="both"/>
        <w:rPr>
          <w:rFonts w:eastAsia="Calibri"/>
          <w:sz w:val="22"/>
          <w:szCs w:val="22"/>
        </w:rPr>
      </w:pPr>
      <w:r w:rsidRPr="004835C7">
        <w:rPr>
          <w:rFonts w:eastAsia="Calibri"/>
          <w:sz w:val="22"/>
          <w:szCs w:val="22"/>
          <w:lang w:val="pt-BR"/>
        </w:rPr>
        <w:t>A avaliação da execução do objeto utilizará o Instrumento de Medição de Resultado (IMR), conforme previsto no disposto neste item.</w:t>
      </w:r>
    </w:p>
    <w:p w14:paraId="4FED9401" w14:textId="42C92376" w:rsidR="00851B0C" w:rsidRPr="00851B0C" w:rsidRDefault="00851B0C" w:rsidP="00AC1A15">
      <w:pPr>
        <w:pStyle w:val="PargrafodaLista"/>
        <w:numPr>
          <w:ilvl w:val="2"/>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Será indicada a retenção ou glosa no pagamento, proporcional à irregularidade verificada, sem prejuízo das sanções cabíveis, caso se constate que a Contratada:</w:t>
      </w:r>
    </w:p>
    <w:p w14:paraId="7B5BC0F5" w14:textId="77777777" w:rsid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não produzir os resultados acordados,</w:t>
      </w:r>
    </w:p>
    <w:p w14:paraId="502451EC" w14:textId="77777777" w:rsid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deixar de executar, ou não executar com a qualidade mínima exigida as atividades contratadas; ou</w:t>
      </w:r>
    </w:p>
    <w:p w14:paraId="3CD0173E" w14:textId="0A96A428" w:rsidR="00851B0C" w:rsidRPr="00851B0C" w:rsidRDefault="00851B0C" w:rsidP="00AC1A15">
      <w:pPr>
        <w:pStyle w:val="PargrafodaLista"/>
        <w:numPr>
          <w:ilvl w:val="3"/>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deixar de utilizar materiais e recursos humanos exigidos para a execução do serviço, ou utilizá-los com qualidade ou quantidade inferior à demandada.</w:t>
      </w:r>
    </w:p>
    <w:p w14:paraId="60305D30" w14:textId="53DA7FA5" w:rsidR="00DE1052" w:rsidRDefault="00851B0C"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851B0C">
        <w:rPr>
          <w:rFonts w:eastAsia="Calibri"/>
          <w:sz w:val="22"/>
          <w:szCs w:val="22"/>
        </w:rPr>
        <w:t xml:space="preserve">Os serviços serão recebidos provisoriamente, no prazo de </w:t>
      </w:r>
      <w:r w:rsidR="00142751">
        <w:rPr>
          <w:rFonts w:eastAsia="Calibri"/>
          <w:sz w:val="22"/>
          <w:szCs w:val="22"/>
          <w:lang w:val="pt-BR"/>
        </w:rPr>
        <w:t>10 (dez</w:t>
      </w:r>
      <w:r w:rsidRPr="00851B0C">
        <w:rPr>
          <w:rFonts w:eastAsia="Calibri"/>
          <w:sz w:val="22"/>
          <w:szCs w:val="22"/>
        </w:rPr>
        <w:t xml:space="preserve">) dias, pelos fiscais técnico e administrativo, mediante termos detalhados, quando verificado o cumprimento das exigências de caráter técnico e administrativo. </w:t>
      </w:r>
    </w:p>
    <w:p w14:paraId="481D50EA" w14:textId="77777777"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O prazo da disposição acima será contado do recebimento de comunicação de cobrança oriunda do contratado com a comprovação da prestação dos serviços a que se referem a parcela a ser paga.</w:t>
      </w:r>
    </w:p>
    <w:p w14:paraId="27B607A9" w14:textId="2DEADF0F"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 xml:space="preserve">O fiscal técnico do contrato realizará o recebimento provisório do objeto do contrato mediante termo detalhado que comprove o cumprimento das exigências de caráter técnico. </w:t>
      </w:r>
    </w:p>
    <w:p w14:paraId="0D50B264" w14:textId="267BFBC5"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lastRenderedPageBreak/>
        <w:t xml:space="preserve">O fiscal administrativo do contrato realizará o recebimento provisório do objeto do contrato mediante termo detalhado que comprove o cumprimento das exigências de caráter administrativo. </w:t>
      </w:r>
    </w:p>
    <w:p w14:paraId="6BD8718E" w14:textId="77777777" w:rsidR="00AC1A15" w:rsidRPr="00AC1A15" w:rsidRDefault="00AC1A15" w:rsidP="00AC1A15">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O fiscal setorial do contrato, quando houver, realizará o recebimento provisório sob o ponto de vista técnico e administrativo.</w:t>
      </w:r>
    </w:p>
    <w:p w14:paraId="69893C82" w14:textId="77777777" w:rsidR="00AC1A15" w:rsidRPr="00AC1A15" w:rsidRDefault="00AC1A15" w:rsidP="009652F4">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3986828"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Será considerado como ocorrido o recebimento provisório com a entrega do termo detalhado ou, em havendo mais de um a ser feito, com a entrega do último;</w:t>
      </w:r>
    </w:p>
    <w:p w14:paraId="1526C729"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232F7742"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A fiscalização não efetuará o ateste da última e/ou única medição de serviços até que sejam sanadas todas as eventuais pendências que possam vir a ser apontadas no Recebimento Provisório. (Art. 119 c/c art. 140 da Lei nº 14133, de 2021)</w:t>
      </w:r>
    </w:p>
    <w:p w14:paraId="032853F9" w14:textId="77777777" w:rsid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 recebimento provisório também ficará sujeito, quando cabível, à conclusão de todos os testes de campo e à entrega dos Manuais e Instruções exigíveis.</w:t>
      </w:r>
    </w:p>
    <w:p w14:paraId="3C43F5B2" w14:textId="309299F0" w:rsidR="00AC1A15" w:rsidRPr="009652F4" w:rsidRDefault="00AC1A15" w:rsidP="009652F4">
      <w:pPr>
        <w:pStyle w:val="PargrafodaLista"/>
        <w:numPr>
          <w:ilvl w:val="2"/>
          <w:numId w:val="18"/>
        </w:numPr>
        <w:tabs>
          <w:tab w:val="left" w:pos="0"/>
          <w:tab w:val="left" w:pos="142"/>
        </w:tabs>
        <w:spacing w:line="360" w:lineRule="auto"/>
        <w:ind w:left="0" w:firstLine="0"/>
        <w:jc w:val="both"/>
        <w:rPr>
          <w:rFonts w:eastAsia="Calibri"/>
          <w:sz w:val="22"/>
          <w:szCs w:val="22"/>
        </w:rPr>
      </w:pPr>
      <w:r w:rsidRPr="009652F4">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163580D6" w14:textId="77777777" w:rsidR="00AC1A15" w:rsidRPr="00AC1A15" w:rsidRDefault="00AC1A15"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D9C5D0C" w14:textId="2F9C079D" w:rsidR="00AC1A15" w:rsidRPr="00AC1A15" w:rsidRDefault="00AC1A15"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AC1A15">
        <w:rPr>
          <w:rFonts w:eastAsia="Calibri"/>
          <w:sz w:val="22"/>
          <w:szCs w:val="22"/>
        </w:rPr>
        <w:t xml:space="preserve">Os serviços serão recebidos definitivamente no prazo de </w:t>
      </w:r>
      <w:r w:rsidR="005C3525">
        <w:rPr>
          <w:rFonts w:eastAsia="Calibri"/>
          <w:sz w:val="22"/>
          <w:szCs w:val="22"/>
          <w:lang w:val="pt-BR"/>
        </w:rPr>
        <w:t>30 (trinta</w:t>
      </w:r>
      <w:r w:rsidRPr="00AC1A15">
        <w:rPr>
          <w:rFonts w:eastAsia="Calibri"/>
          <w:sz w:val="22"/>
          <w:szCs w:val="22"/>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9B95F7" w14:textId="1DA9E8EF" w:rsidR="00E2409F" w:rsidRPr="00E2409F" w:rsidRDefault="00AC1A15"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AC1A15">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E2409F">
        <w:rPr>
          <w:rFonts w:eastAsia="Calibri"/>
          <w:sz w:val="22"/>
          <w:szCs w:val="22"/>
          <w:lang w:val="pt-BR"/>
        </w:rPr>
        <w:t>.</w:t>
      </w:r>
      <w:r w:rsidR="00E2409F" w:rsidRPr="00E2409F">
        <w:t xml:space="preserve"> </w:t>
      </w:r>
      <w:r w:rsidR="00E2409F" w:rsidRPr="00E2409F">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D50623"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lastRenderedPageBreak/>
        <w:t>Emitir Termo Detalhado para efeito de recebimento definitivo dos serviços prestados, com base nos relatórios e documentações apresentadas; e</w:t>
      </w:r>
    </w:p>
    <w:p w14:paraId="44594BA6"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t>Comunicar a empresa para que emita a Nota Fiscal ou Fatura, com o valor exato dimensionado pela fiscalização.</w:t>
      </w:r>
    </w:p>
    <w:p w14:paraId="30B7FE77" w14:textId="77777777" w:rsidR="00E2409F" w:rsidRPr="00E2409F" w:rsidRDefault="00E2409F" w:rsidP="00E2409F">
      <w:pPr>
        <w:pStyle w:val="PargrafodaLista"/>
        <w:numPr>
          <w:ilvl w:val="2"/>
          <w:numId w:val="18"/>
        </w:numPr>
        <w:tabs>
          <w:tab w:val="left" w:pos="0"/>
          <w:tab w:val="left" w:pos="142"/>
        </w:tabs>
        <w:spacing w:line="360" w:lineRule="auto"/>
        <w:ind w:left="0" w:firstLine="0"/>
        <w:jc w:val="both"/>
        <w:rPr>
          <w:rFonts w:eastAsia="Calibri"/>
          <w:sz w:val="22"/>
          <w:szCs w:val="22"/>
          <w:lang w:val="pt-BR"/>
        </w:rPr>
      </w:pPr>
      <w:r w:rsidRPr="00E2409F">
        <w:rPr>
          <w:rFonts w:eastAsia="Calibri"/>
          <w:sz w:val="22"/>
          <w:szCs w:val="22"/>
          <w:lang w:val="pt-BR"/>
        </w:rPr>
        <w:t>Enviar a documentação pertinente ao setor de contratos para a formalização dos procedimentos de liquidação e pagamento, no valor dimensionado pela fiscalização e gestão.</w:t>
      </w:r>
    </w:p>
    <w:p w14:paraId="021704C0" w14:textId="77777777" w:rsidR="00DE1052" w:rsidRPr="00F61118" w:rsidRDefault="00DE1052"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61118">
        <w:rPr>
          <w:rFonts w:eastAsia="Calibri"/>
          <w:sz w:val="22"/>
          <w:szCs w:val="22"/>
        </w:rPr>
        <w:t>pertine</w:t>
      </w:r>
      <w:proofErr w:type="spellEnd"/>
      <w:r w:rsidRPr="00F61118">
        <w:rPr>
          <w:rFonts w:eastAsia="Calibri"/>
          <w:sz w:val="22"/>
          <w:szCs w:val="22"/>
        </w:rPr>
        <w:t xml:space="preserve"> à parcela incontroversa da execução do objeto, para efeito de liquidação e pagamento.</w:t>
      </w:r>
    </w:p>
    <w:p w14:paraId="481DF937" w14:textId="02DDD0BC" w:rsidR="00DE1052" w:rsidRPr="00F61118" w:rsidRDefault="002F1BCA" w:rsidP="00E2409F">
      <w:pPr>
        <w:pStyle w:val="PargrafodaLista"/>
        <w:numPr>
          <w:ilvl w:val="1"/>
          <w:numId w:val="18"/>
        </w:numPr>
        <w:tabs>
          <w:tab w:val="left" w:pos="0"/>
          <w:tab w:val="left" w:pos="142"/>
        </w:tabs>
        <w:spacing w:line="360" w:lineRule="auto"/>
        <w:ind w:left="0" w:firstLine="0"/>
        <w:jc w:val="both"/>
        <w:rPr>
          <w:rFonts w:eastAsia="Calibri"/>
          <w:sz w:val="22"/>
          <w:szCs w:val="22"/>
        </w:rPr>
      </w:pPr>
      <w:r w:rsidRPr="002F1BCA">
        <w:rPr>
          <w:rFonts w:eastAsia="Calibri"/>
          <w:sz w:val="22"/>
          <w:szCs w:val="22"/>
          <w:lang w:val="pt-BR"/>
        </w:rPr>
        <w:t>Nenhum prazo de recebimento ocorrerá enquanto pendente a solução, pelo contratado, de inconsistências verificadas na execução do objeto ou no instrumento de cobrança</w:t>
      </w:r>
      <w:r w:rsidR="00DE1052" w:rsidRPr="00F61118">
        <w:rPr>
          <w:rFonts w:eastAsia="Calibri"/>
          <w:sz w:val="22"/>
          <w:szCs w:val="22"/>
        </w:rPr>
        <w:t>.</w:t>
      </w:r>
    </w:p>
    <w:p w14:paraId="40EE870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1A75A406"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 Administração deverá realizar consulta ao SICAF para: a) verificar a manutenção das condições de habilitação exigidas no edital; b) identificar possível razão que impeça a participação em licitação, no âmbito </w:t>
      </w:r>
      <w:r w:rsidRPr="00F61118">
        <w:rPr>
          <w:rFonts w:eastAsia="Calibri"/>
          <w:sz w:val="22"/>
          <w:szCs w:val="22"/>
        </w:rPr>
        <w:lastRenderedPageBreak/>
        <w:t xml:space="preserve">do órgão ou entidade, proibição de </w:t>
      </w:r>
      <w:proofErr w:type="spellStart"/>
      <w:r w:rsidRPr="00F61118">
        <w:rPr>
          <w:rFonts w:eastAsia="Calibri"/>
          <w:sz w:val="22"/>
          <w:szCs w:val="22"/>
        </w:rPr>
        <w:t>conatar</w:t>
      </w:r>
      <w:proofErr w:type="spellEnd"/>
      <w:r w:rsidRPr="00F61118">
        <w:rPr>
          <w:rFonts w:eastAsia="Calibri"/>
          <w:sz w:val="22"/>
          <w:szCs w:val="22"/>
        </w:rPr>
        <w:t xml:space="preserve"> com o Poder Público, bem como ocorrências impeditivas indiretas (INSTRUÇÃO NORMATIVA Nº 3, DE 26 DE ABRIL DE 2018).</w:t>
      </w:r>
    </w:p>
    <w:p w14:paraId="02580E9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41DEC">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231797A1" w14:textId="23904CF2" w:rsidR="00DE1052" w:rsidRPr="000E4101" w:rsidRDefault="00DE1052" w:rsidP="000E4101">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r w:rsidR="000E4101">
        <w:rPr>
          <w:rFonts w:eastAsia="Calibri"/>
          <w:sz w:val="22"/>
          <w:szCs w:val="22"/>
          <w:lang w:val="pt-BR"/>
        </w:rPr>
        <w:t xml:space="preserve"> </w:t>
      </w:r>
      <w:r w:rsidRPr="000E4101">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41DEC">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487BB116" w:rsidR="00B30DF1" w:rsidRPr="00F61118" w:rsidRDefault="00156297"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fornecedor será selecionado por meio da realização de procedimento de LICITAÇÃO, na modalidade PREGÃO, sob a forma ELETRÔNICA, com adoção do critério de julgamento pelo MENOR PREÇO</w:t>
      </w:r>
      <w:r w:rsidR="0021169F">
        <w:rPr>
          <w:sz w:val="22"/>
          <w:szCs w:val="22"/>
          <w:lang w:val="pt-BR"/>
        </w:rPr>
        <w:t xml:space="preserve"> POR LOTE</w:t>
      </w:r>
      <w:r w:rsidRPr="00F61118">
        <w:rPr>
          <w:sz w:val="22"/>
          <w:szCs w:val="22"/>
          <w:lang w:val="pt-BR"/>
        </w:rPr>
        <w:t>.</w:t>
      </w:r>
    </w:p>
    <w:p w14:paraId="5DF0420C" w14:textId="7C540CCF" w:rsidR="00176385" w:rsidRPr="00F61118" w:rsidRDefault="00156297"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lastRenderedPageBreak/>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lastRenderedPageBreak/>
        <w:t>Prova de regularidade com a Fazenda Municipal do domicílio ou sede do fornecedor, relativa à atividade em cujo exercício contrata ou concorre</w:t>
      </w:r>
    </w:p>
    <w:p w14:paraId="683D6EC3" w14:textId="4D352B4B"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41DEC">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C3353C">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C3353C">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7817DB53" w14:textId="1E19386C" w:rsidR="00DC2C1D" w:rsidRPr="00DC2C1D" w:rsidRDefault="00DC2C1D" w:rsidP="00C3353C">
      <w:pPr>
        <w:pStyle w:val="PargrafodaLista"/>
        <w:numPr>
          <w:ilvl w:val="1"/>
          <w:numId w:val="18"/>
        </w:numPr>
        <w:tabs>
          <w:tab w:val="left" w:pos="0"/>
          <w:tab w:val="left" w:pos="142"/>
        </w:tabs>
        <w:spacing w:line="360" w:lineRule="auto"/>
        <w:ind w:left="0" w:firstLine="0"/>
        <w:jc w:val="both"/>
        <w:rPr>
          <w:sz w:val="22"/>
          <w:szCs w:val="22"/>
        </w:rPr>
      </w:pPr>
      <w:r w:rsidRPr="00DC2C1D">
        <w:rPr>
          <w:sz w:val="22"/>
          <w:szCs w:val="22"/>
        </w:rPr>
        <w:t>A estimativa do valor da contratação administrativa está no ETP (inciso VI do § 1º do art. 18 da Lei nº. 14.133/2021).</w:t>
      </w:r>
    </w:p>
    <w:p w14:paraId="5EB175A0" w14:textId="729933B3" w:rsidR="00DC2C1D" w:rsidRPr="004D268F" w:rsidRDefault="00C3353C" w:rsidP="00C3353C">
      <w:pPr>
        <w:pStyle w:val="PargrafodaLista"/>
        <w:numPr>
          <w:ilvl w:val="1"/>
          <w:numId w:val="18"/>
        </w:numPr>
        <w:tabs>
          <w:tab w:val="left" w:pos="0"/>
          <w:tab w:val="left" w:pos="142"/>
        </w:tabs>
        <w:spacing w:line="360" w:lineRule="auto"/>
        <w:ind w:left="0" w:firstLine="0"/>
        <w:jc w:val="both"/>
        <w:rPr>
          <w:sz w:val="22"/>
          <w:szCs w:val="22"/>
        </w:rPr>
      </w:pPr>
      <w:r>
        <w:rPr>
          <w:sz w:val="22"/>
          <w:szCs w:val="22"/>
          <w:lang w:val="pt-BR"/>
        </w:rPr>
        <w:t xml:space="preserve">O orçamento sigilo será </w:t>
      </w:r>
      <w:r w:rsidR="00DC2C1D" w:rsidRPr="004D268F">
        <w:rPr>
          <w:sz w:val="22"/>
          <w:szCs w:val="22"/>
        </w:rPr>
        <w:t xml:space="preserve">estipulado para esta licitação, encontra-se sob sigilo, pois busca-se a apresentação das propostas dos Licitantes em consonância com o preço praticado no mercado. Um possível Orçamento aberto ocasionaria preços que não se afastariam do valor inicial, prejudicando a apresentação da melhor proposta à Administração Pública. Também entendem dessa forma os autores </w:t>
      </w:r>
      <w:proofErr w:type="spellStart"/>
      <w:r w:rsidR="00DC2C1D" w:rsidRPr="004D268F">
        <w:rPr>
          <w:sz w:val="22"/>
          <w:szCs w:val="22"/>
        </w:rPr>
        <w:t>Zymler</w:t>
      </w:r>
      <w:proofErr w:type="spellEnd"/>
      <w:r w:rsidR="00DC2C1D" w:rsidRPr="004D268F">
        <w:rPr>
          <w:sz w:val="22"/>
          <w:szCs w:val="22"/>
        </w:rPr>
        <w:t xml:space="preserve"> e Dios, que afirmam o seguinte: “A não divulgação do orçamento tem por objetivo evitar que as propostas/lances gravitem em torno do orçamento fixado pela administração. Essa medida deve se mostrar particularmente eficaz quando houver a ocorrência de lances fechados, pois, sem as balizas dos outros licitantes e do orçamento da administração, o competidor deve, já nessa etapa, oferecer um preço realmente competitivo e dentro do limite de sua capacidade de executar a avença com uma lucratividade adequada” Mesmo que o presente processo seja realizado no sistema fechado/aberto de lances, o orçamento sigiloso se torna também mais eficaz, em especial, quando na participação de apenas um licitante e este não oferta nenhum lance, se baseando no preço referencial.</w:t>
      </w:r>
    </w:p>
    <w:p w14:paraId="7BBCF9CD" w14:textId="77777777" w:rsidR="00844D73" w:rsidRPr="00F61118" w:rsidRDefault="001A27B9" w:rsidP="00F41DEC">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F41DEC">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41DEC">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23271AD1" w14:textId="77777777" w:rsidR="009B5EA3" w:rsidRPr="00F61118" w:rsidRDefault="009B5EA3" w:rsidP="00F41DEC">
      <w:pPr>
        <w:tabs>
          <w:tab w:val="left" w:pos="0"/>
        </w:tabs>
        <w:spacing w:line="360" w:lineRule="auto"/>
        <w:jc w:val="both"/>
        <w:rPr>
          <w:b/>
          <w:color w:val="000000" w:themeColor="text1"/>
          <w:sz w:val="22"/>
          <w:szCs w:val="22"/>
        </w:rPr>
      </w:pPr>
      <w:bookmarkStart w:id="2" w:name="_Hlk170822443"/>
      <w:bookmarkStart w:id="3" w:name="_Hlk167688817"/>
      <w:r w:rsidRPr="00F61118">
        <w:rPr>
          <w:b/>
          <w:color w:val="000000" w:themeColor="text1"/>
          <w:sz w:val="22"/>
          <w:szCs w:val="22"/>
        </w:rPr>
        <w:t>Ficha: 79</w:t>
      </w:r>
      <w:r w:rsidRPr="00F61118">
        <w:rPr>
          <w:b/>
          <w:color w:val="000000" w:themeColor="text1"/>
          <w:sz w:val="22"/>
          <w:szCs w:val="22"/>
        </w:rPr>
        <w:tab/>
        <w:t xml:space="preserve"> </w:t>
      </w:r>
    </w:p>
    <w:p w14:paraId="2E3C8CFB"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Órgão: 02 PODER EXECUTIVO</w:t>
      </w:r>
    </w:p>
    <w:p w14:paraId="63F956D8"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Unidade: 02.04 SECRETARIA ADMINISTRAÇÃO E PLANEJAMENTO</w:t>
      </w:r>
    </w:p>
    <w:p w14:paraId="6F857841"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Subunidade: 02.04.01 COORD. DA SECRETARIA DE ADMINISTRAÇÃO</w:t>
      </w:r>
    </w:p>
    <w:p w14:paraId="6E634302"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 xml:space="preserve">Funcional Programática: </w:t>
      </w:r>
      <w:r w:rsidRPr="00F61118">
        <w:rPr>
          <w:bCs/>
          <w:color w:val="000000" w:themeColor="text1"/>
          <w:sz w:val="22"/>
          <w:szCs w:val="22"/>
        </w:rPr>
        <w:t>04.122.0003.4018 Atividades Secretaria de Administração</w:t>
      </w:r>
    </w:p>
    <w:p w14:paraId="710E850E"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Elemento da Despesa: 3.3.90.39.00 Outros Serv. Terceiros - Pessoa Jurídica</w:t>
      </w:r>
    </w:p>
    <w:p w14:paraId="5513687D" w14:textId="77777777" w:rsidR="009B5EA3" w:rsidRPr="00F61118" w:rsidRDefault="009B5EA3" w:rsidP="00F41DEC">
      <w:pPr>
        <w:tabs>
          <w:tab w:val="left" w:pos="0"/>
        </w:tabs>
        <w:spacing w:line="360" w:lineRule="auto"/>
        <w:jc w:val="both"/>
        <w:rPr>
          <w:color w:val="000000" w:themeColor="text1"/>
          <w:sz w:val="22"/>
          <w:szCs w:val="22"/>
        </w:rPr>
      </w:pPr>
      <w:r w:rsidRPr="00F61118">
        <w:rPr>
          <w:color w:val="000000" w:themeColor="text1"/>
          <w:sz w:val="22"/>
          <w:szCs w:val="22"/>
        </w:rPr>
        <w:t>Fonte de Recurso: 1.500.000.0000 Recursos não vinculados de Impostos</w:t>
      </w:r>
    </w:p>
    <w:bookmarkEnd w:id="2"/>
    <w:bookmarkEnd w:id="3"/>
    <w:p w14:paraId="734E1392" w14:textId="72FE850D" w:rsidR="005B4A7B" w:rsidRPr="00F9675C" w:rsidRDefault="001A27B9" w:rsidP="00F41DEC">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sectPr w:rsidR="005B4A7B" w:rsidRPr="00F9675C" w:rsidSect="0064541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425" w:footer="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BCD3" w14:textId="77777777" w:rsidR="006E33CD" w:rsidRDefault="006E33CD">
      <w:r>
        <w:separator/>
      </w:r>
    </w:p>
  </w:endnote>
  <w:endnote w:type="continuationSeparator" w:id="0">
    <w:p w14:paraId="4F8528CB" w14:textId="77777777" w:rsidR="006E33CD" w:rsidRDefault="006E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A1C4" w14:textId="77777777" w:rsidR="0061669B" w:rsidRDefault="006166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292ADE01" w:rsidR="00DA307E" w:rsidRDefault="00DA307E" w:rsidP="00DA307E">
    <w:pPr>
      <w:tabs>
        <w:tab w:val="center" w:pos="4252"/>
        <w:tab w:val="right" w:pos="8504"/>
      </w:tabs>
    </w:pPr>
    <w:r w:rsidRPr="00DA307E">
      <w:rPr>
        <w:noProof/>
      </w:rPr>
      <w:drawing>
        <wp:anchor distT="0" distB="0" distL="114300" distR="114300" simplePos="0" relativeHeight="251656192" behindDoc="0" locked="0" layoutInCell="1" allowOverlap="1" wp14:anchorId="13F6A371" wp14:editId="3CEE7B5B">
          <wp:simplePos x="0" y="0"/>
          <wp:positionH relativeFrom="margin">
            <wp:posOffset>-53340</wp:posOffset>
          </wp:positionH>
          <wp:positionV relativeFrom="margin">
            <wp:posOffset>10083800</wp:posOffset>
          </wp:positionV>
          <wp:extent cx="7614920" cy="552450"/>
          <wp:effectExtent l="0" t="0" r="0" b="0"/>
          <wp:wrapSquare wrapText="bothSides"/>
          <wp:docPr id="131" name="Imagem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A07">
      <w:rPr>
        <w:noProof/>
      </w:rPr>
      <w:drawing>
        <wp:inline distT="0" distB="0" distL="0" distR="0" wp14:anchorId="24D37E62" wp14:editId="09053E12">
          <wp:extent cx="6120765" cy="701040"/>
          <wp:effectExtent l="0" t="0" r="0" b="3810"/>
          <wp:docPr id="132" name="Imagem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8E37" w14:textId="77777777" w:rsidR="0061669B" w:rsidRDefault="006166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94B42" w14:textId="77777777" w:rsidR="006E33CD" w:rsidRDefault="006E33CD">
      <w:r>
        <w:separator/>
      </w:r>
    </w:p>
  </w:footnote>
  <w:footnote w:type="continuationSeparator" w:id="0">
    <w:p w14:paraId="688A4AE7" w14:textId="77777777" w:rsidR="006E33CD" w:rsidRDefault="006E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DAEC" w14:textId="77777777" w:rsidR="0061669B" w:rsidRDefault="006166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A0A9" w14:textId="142E0C39" w:rsidR="001171DC" w:rsidRDefault="001F1A07">
    <w:pPr>
      <w:pStyle w:val="Cabealho"/>
    </w:pPr>
    <w:r w:rsidRPr="001F1A07">
      <w:rPr>
        <w:noProof/>
      </w:rPr>
      <w:drawing>
        <wp:inline distT="0" distB="0" distL="0" distR="0" wp14:anchorId="5F48A3B9" wp14:editId="2905FD42">
          <wp:extent cx="6120765" cy="768270"/>
          <wp:effectExtent l="0" t="0" r="0" b="0"/>
          <wp:docPr id="130" name="Imagem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682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26B53" w14:textId="77777777" w:rsidR="0061669B" w:rsidRDefault="006166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0"/>
  </w:num>
  <w:num w:numId="3">
    <w:abstractNumId w:val="16"/>
  </w:num>
  <w:num w:numId="4">
    <w:abstractNumId w:val="5"/>
  </w:num>
  <w:num w:numId="5">
    <w:abstractNumId w:val="15"/>
  </w:num>
  <w:num w:numId="6">
    <w:abstractNumId w:val="14"/>
  </w:num>
  <w:num w:numId="7">
    <w:abstractNumId w:val="17"/>
  </w:num>
  <w:num w:numId="8">
    <w:abstractNumId w:val="1"/>
  </w:num>
  <w:num w:numId="9">
    <w:abstractNumId w:val="9"/>
  </w:num>
  <w:num w:numId="10">
    <w:abstractNumId w:val="10"/>
  </w:num>
  <w:num w:numId="11">
    <w:abstractNumId w:val="4"/>
  </w:num>
  <w:num w:numId="12">
    <w:abstractNumId w:val="3"/>
  </w:num>
  <w:num w:numId="13">
    <w:abstractNumId w:val="6"/>
  </w:num>
  <w:num w:numId="14">
    <w:abstractNumId w:val="13"/>
  </w:num>
  <w:num w:numId="15">
    <w:abstractNumId w:val="2"/>
  </w:num>
  <w:num w:numId="16">
    <w:abstractNumId w:val="7"/>
  </w:num>
  <w:num w:numId="17">
    <w:abstractNumId w:val="11"/>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1CE5"/>
    <w:rsid w:val="0000273A"/>
    <w:rsid w:val="00002749"/>
    <w:rsid w:val="000032A8"/>
    <w:rsid w:val="00005823"/>
    <w:rsid w:val="00007C8C"/>
    <w:rsid w:val="0001130B"/>
    <w:rsid w:val="00011743"/>
    <w:rsid w:val="000135FF"/>
    <w:rsid w:val="000142F6"/>
    <w:rsid w:val="0001551B"/>
    <w:rsid w:val="000165E4"/>
    <w:rsid w:val="0001665D"/>
    <w:rsid w:val="0001668C"/>
    <w:rsid w:val="00016B70"/>
    <w:rsid w:val="000210EC"/>
    <w:rsid w:val="000244C2"/>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5524"/>
    <w:rsid w:val="00066C58"/>
    <w:rsid w:val="00070118"/>
    <w:rsid w:val="0007066F"/>
    <w:rsid w:val="00072A62"/>
    <w:rsid w:val="00075A7D"/>
    <w:rsid w:val="0008623F"/>
    <w:rsid w:val="0009011B"/>
    <w:rsid w:val="00090BA2"/>
    <w:rsid w:val="00090D4D"/>
    <w:rsid w:val="00090DAF"/>
    <w:rsid w:val="000924E0"/>
    <w:rsid w:val="0009505B"/>
    <w:rsid w:val="000A21C6"/>
    <w:rsid w:val="000A247F"/>
    <w:rsid w:val="000A3574"/>
    <w:rsid w:val="000B0A8D"/>
    <w:rsid w:val="000B16F7"/>
    <w:rsid w:val="000B25C4"/>
    <w:rsid w:val="000B41F9"/>
    <w:rsid w:val="000B4A48"/>
    <w:rsid w:val="000B6781"/>
    <w:rsid w:val="000C09B0"/>
    <w:rsid w:val="000C4232"/>
    <w:rsid w:val="000C45E2"/>
    <w:rsid w:val="000C535D"/>
    <w:rsid w:val="000C55EB"/>
    <w:rsid w:val="000D3B4F"/>
    <w:rsid w:val="000D4C94"/>
    <w:rsid w:val="000D54E5"/>
    <w:rsid w:val="000E0B44"/>
    <w:rsid w:val="000E4101"/>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17EC"/>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751"/>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92185"/>
    <w:rsid w:val="001A047C"/>
    <w:rsid w:val="001A094B"/>
    <w:rsid w:val="001A253A"/>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09C0"/>
    <w:rsid w:val="001F1A07"/>
    <w:rsid w:val="001F6802"/>
    <w:rsid w:val="001F6A10"/>
    <w:rsid w:val="001F6F7F"/>
    <w:rsid w:val="001F79E8"/>
    <w:rsid w:val="001F7DFB"/>
    <w:rsid w:val="002001AC"/>
    <w:rsid w:val="00200E76"/>
    <w:rsid w:val="002034A7"/>
    <w:rsid w:val="00203B1D"/>
    <w:rsid w:val="00204A0A"/>
    <w:rsid w:val="0020546D"/>
    <w:rsid w:val="00207C78"/>
    <w:rsid w:val="0021169F"/>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1BCA"/>
    <w:rsid w:val="002F3660"/>
    <w:rsid w:val="002F555F"/>
    <w:rsid w:val="002F68F2"/>
    <w:rsid w:val="00303FE5"/>
    <w:rsid w:val="00304D76"/>
    <w:rsid w:val="00305994"/>
    <w:rsid w:val="00307C02"/>
    <w:rsid w:val="00307DEB"/>
    <w:rsid w:val="003115F2"/>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0810"/>
    <w:rsid w:val="00374F19"/>
    <w:rsid w:val="00375ED5"/>
    <w:rsid w:val="003778AB"/>
    <w:rsid w:val="003779AF"/>
    <w:rsid w:val="003809F4"/>
    <w:rsid w:val="00382A0E"/>
    <w:rsid w:val="00383AC2"/>
    <w:rsid w:val="00384EDE"/>
    <w:rsid w:val="00384FCC"/>
    <w:rsid w:val="00385164"/>
    <w:rsid w:val="00385B82"/>
    <w:rsid w:val="00385EAE"/>
    <w:rsid w:val="00390D73"/>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56F8"/>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31F9"/>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49C4"/>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5C7"/>
    <w:rsid w:val="00483C6D"/>
    <w:rsid w:val="00486477"/>
    <w:rsid w:val="004905EC"/>
    <w:rsid w:val="00490955"/>
    <w:rsid w:val="004917C1"/>
    <w:rsid w:val="00494751"/>
    <w:rsid w:val="004949FB"/>
    <w:rsid w:val="00494C79"/>
    <w:rsid w:val="00494CA6"/>
    <w:rsid w:val="00495E87"/>
    <w:rsid w:val="0049606D"/>
    <w:rsid w:val="004963B7"/>
    <w:rsid w:val="0049706D"/>
    <w:rsid w:val="004973E3"/>
    <w:rsid w:val="00497779"/>
    <w:rsid w:val="004A022D"/>
    <w:rsid w:val="004A4BDB"/>
    <w:rsid w:val="004A7EC8"/>
    <w:rsid w:val="004B26CD"/>
    <w:rsid w:val="004B290F"/>
    <w:rsid w:val="004B4DDF"/>
    <w:rsid w:val="004C0411"/>
    <w:rsid w:val="004C235A"/>
    <w:rsid w:val="004C2960"/>
    <w:rsid w:val="004C3EF7"/>
    <w:rsid w:val="004C4190"/>
    <w:rsid w:val="004C5724"/>
    <w:rsid w:val="004C7489"/>
    <w:rsid w:val="004D268F"/>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220E"/>
    <w:rsid w:val="005039CC"/>
    <w:rsid w:val="005067A9"/>
    <w:rsid w:val="00510E98"/>
    <w:rsid w:val="0051129F"/>
    <w:rsid w:val="005132BC"/>
    <w:rsid w:val="005140A6"/>
    <w:rsid w:val="00515032"/>
    <w:rsid w:val="0051599E"/>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525"/>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2FC"/>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1669B"/>
    <w:rsid w:val="00621E82"/>
    <w:rsid w:val="0062314E"/>
    <w:rsid w:val="00625BA3"/>
    <w:rsid w:val="00625C63"/>
    <w:rsid w:val="006263D3"/>
    <w:rsid w:val="00627C26"/>
    <w:rsid w:val="00627F9B"/>
    <w:rsid w:val="0063172B"/>
    <w:rsid w:val="0063478B"/>
    <w:rsid w:val="00637934"/>
    <w:rsid w:val="00643FC1"/>
    <w:rsid w:val="0064541D"/>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026F"/>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33CD"/>
    <w:rsid w:val="006E617D"/>
    <w:rsid w:val="006F0D27"/>
    <w:rsid w:val="006F3DD6"/>
    <w:rsid w:val="006F4EC3"/>
    <w:rsid w:val="006F58F1"/>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33F1"/>
    <w:rsid w:val="007336C3"/>
    <w:rsid w:val="0073423B"/>
    <w:rsid w:val="007365DA"/>
    <w:rsid w:val="0073668B"/>
    <w:rsid w:val="00736DF0"/>
    <w:rsid w:val="00740BF5"/>
    <w:rsid w:val="00740D25"/>
    <w:rsid w:val="00740E2E"/>
    <w:rsid w:val="00741107"/>
    <w:rsid w:val="007421B5"/>
    <w:rsid w:val="0074285A"/>
    <w:rsid w:val="00743BE1"/>
    <w:rsid w:val="0074503A"/>
    <w:rsid w:val="00755FE5"/>
    <w:rsid w:val="00756081"/>
    <w:rsid w:val="007610FA"/>
    <w:rsid w:val="00761774"/>
    <w:rsid w:val="00766BE8"/>
    <w:rsid w:val="00767342"/>
    <w:rsid w:val="00770098"/>
    <w:rsid w:val="00770EAE"/>
    <w:rsid w:val="00771EE8"/>
    <w:rsid w:val="00776D95"/>
    <w:rsid w:val="007810F9"/>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1FBD"/>
    <w:rsid w:val="008427FB"/>
    <w:rsid w:val="008436D7"/>
    <w:rsid w:val="00844D73"/>
    <w:rsid w:val="00844F44"/>
    <w:rsid w:val="00846CEE"/>
    <w:rsid w:val="00851B0C"/>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5A74"/>
    <w:rsid w:val="008A6397"/>
    <w:rsid w:val="008B0F34"/>
    <w:rsid w:val="008B1350"/>
    <w:rsid w:val="008B3523"/>
    <w:rsid w:val="008B3DD1"/>
    <w:rsid w:val="008B40D3"/>
    <w:rsid w:val="008B69E5"/>
    <w:rsid w:val="008B6F6F"/>
    <w:rsid w:val="008B78F2"/>
    <w:rsid w:val="008B7DC3"/>
    <w:rsid w:val="008C1AFF"/>
    <w:rsid w:val="008C78D7"/>
    <w:rsid w:val="008D0314"/>
    <w:rsid w:val="008D1842"/>
    <w:rsid w:val="008D1C92"/>
    <w:rsid w:val="008D20CC"/>
    <w:rsid w:val="008D4A31"/>
    <w:rsid w:val="008E16E9"/>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2F4"/>
    <w:rsid w:val="00965608"/>
    <w:rsid w:val="0096624E"/>
    <w:rsid w:val="009673E4"/>
    <w:rsid w:val="0096749A"/>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5A6"/>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1A15"/>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663"/>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53C"/>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846BB"/>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659"/>
    <w:rsid w:val="00CC4CE6"/>
    <w:rsid w:val="00CC7AFE"/>
    <w:rsid w:val="00CD00A0"/>
    <w:rsid w:val="00CD01C5"/>
    <w:rsid w:val="00CD0F0A"/>
    <w:rsid w:val="00CD5E66"/>
    <w:rsid w:val="00CD6BC3"/>
    <w:rsid w:val="00CE26ED"/>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2C1D"/>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B42"/>
    <w:rsid w:val="00E21A05"/>
    <w:rsid w:val="00E2409F"/>
    <w:rsid w:val="00E24698"/>
    <w:rsid w:val="00E25B6F"/>
    <w:rsid w:val="00E25DD3"/>
    <w:rsid w:val="00E2708F"/>
    <w:rsid w:val="00E2716E"/>
    <w:rsid w:val="00E278BF"/>
    <w:rsid w:val="00E27F67"/>
    <w:rsid w:val="00E30823"/>
    <w:rsid w:val="00E33FAB"/>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6859"/>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DEC"/>
    <w:rsid w:val="00F41EAC"/>
    <w:rsid w:val="00F44526"/>
    <w:rsid w:val="00F44671"/>
    <w:rsid w:val="00F45E52"/>
    <w:rsid w:val="00F501CE"/>
    <w:rsid w:val="00F51ACC"/>
    <w:rsid w:val="00F52624"/>
    <w:rsid w:val="00F5265C"/>
    <w:rsid w:val="00F53E37"/>
    <w:rsid w:val="00F56B9E"/>
    <w:rsid w:val="00F61118"/>
    <w:rsid w:val="00F63386"/>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675C"/>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1F1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99E8-B0FF-49EA-8C9A-682BFAF5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6117</Words>
  <Characters>33033</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39072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6</cp:revision>
  <cp:lastPrinted>2024-07-02T16:19:00Z</cp:lastPrinted>
  <dcterms:created xsi:type="dcterms:W3CDTF">2024-07-22T16:18:00Z</dcterms:created>
  <dcterms:modified xsi:type="dcterms:W3CDTF">2024-08-15T13:21:00Z</dcterms:modified>
</cp:coreProperties>
</file>