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9984" w14:textId="77777777" w:rsidR="00EB0F9B" w:rsidRPr="00EB0F9B" w:rsidRDefault="00EB0F9B" w:rsidP="00FE0EC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47540C6" w14:textId="6AC36C0A" w:rsidR="00AF41D1" w:rsidRPr="00EB0F9B" w:rsidRDefault="001077BA" w:rsidP="00FE0EC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ANEXO </w:t>
      </w:r>
      <w:r w:rsidR="00B711D9" w:rsidRPr="00EB0F9B">
        <w:rPr>
          <w:rFonts w:ascii="Times New Roman" w:hAnsi="Times New Roman" w:cs="Times New Roman"/>
          <w:b/>
          <w:sz w:val="23"/>
          <w:szCs w:val="23"/>
        </w:rPr>
        <w:t>II</w:t>
      </w:r>
      <w:r w:rsidRPr="00EB0F9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AF41D1" w:rsidRPr="00EB0F9B">
        <w:rPr>
          <w:rFonts w:ascii="Times New Roman" w:hAnsi="Times New Roman" w:cs="Times New Roman"/>
          <w:b/>
          <w:sz w:val="23"/>
          <w:szCs w:val="23"/>
        </w:rPr>
        <w:t>MINUTA DO TERMO DE CREDENCIAMENTO</w:t>
      </w:r>
    </w:p>
    <w:p w14:paraId="4142B523" w14:textId="1BC44FB1" w:rsidR="00AF41D1" w:rsidRPr="00EB0F9B" w:rsidRDefault="00AF41D1" w:rsidP="00FE0EC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6068B3" w14:textId="77777777" w:rsidR="00EB0F9B" w:rsidRPr="00EB0F9B" w:rsidRDefault="00EB0F9B" w:rsidP="00EB0F9B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pt-BR" w:eastAsia="pt-BR"/>
        </w:rPr>
      </w:pPr>
      <w:bookmarkStart w:id="0" w:name="_Hlk172884495"/>
      <w:bookmarkStart w:id="1" w:name="_Hlk189475685"/>
      <w:bookmarkStart w:id="2" w:name="_Hlk193114750"/>
      <w:bookmarkStart w:id="3" w:name="_GoBack"/>
      <w:r w:rsidRPr="00EB0F9B">
        <w:rPr>
          <w:rFonts w:ascii="Times New Roman" w:eastAsia="Times New Roman" w:hAnsi="Times New Roman" w:cs="Times New Roman"/>
          <w:b/>
          <w:bCs/>
          <w:sz w:val="23"/>
          <w:szCs w:val="23"/>
          <w:lang w:val="pt-BR" w:eastAsia="pt-BR"/>
        </w:rPr>
        <w:t>Processo Licitatório nº 032/2025</w:t>
      </w:r>
    </w:p>
    <w:bookmarkEnd w:id="0"/>
    <w:p w14:paraId="009D49A3" w14:textId="77777777" w:rsidR="00EB0F9B" w:rsidRPr="00EB0F9B" w:rsidRDefault="00EB0F9B" w:rsidP="00EB0F9B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pt-BR" w:eastAsia="pt-BR"/>
        </w:rPr>
      </w:pPr>
      <w:r w:rsidRPr="00EB0F9B">
        <w:rPr>
          <w:rFonts w:ascii="Times New Roman" w:eastAsia="Times New Roman" w:hAnsi="Times New Roman" w:cs="Times New Roman"/>
          <w:b/>
          <w:bCs/>
          <w:sz w:val="23"/>
          <w:szCs w:val="23"/>
          <w:lang w:val="pt-BR" w:eastAsia="pt-BR"/>
        </w:rPr>
        <w:t>Inexigibilidade de Licitação nº 019/2025</w:t>
      </w:r>
    </w:p>
    <w:p w14:paraId="2D1EA4F1" w14:textId="77777777" w:rsidR="00EB0F9B" w:rsidRPr="00EB0F9B" w:rsidRDefault="00EB0F9B" w:rsidP="00EB0F9B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pt-BR" w:eastAsia="pt-BR"/>
        </w:rPr>
      </w:pPr>
      <w:r w:rsidRPr="00EB0F9B">
        <w:rPr>
          <w:rFonts w:ascii="Times New Roman" w:eastAsia="Times New Roman" w:hAnsi="Times New Roman" w:cs="Times New Roman"/>
          <w:b/>
          <w:bCs/>
          <w:sz w:val="23"/>
          <w:szCs w:val="23"/>
          <w:lang w:val="pt-BR" w:eastAsia="pt-BR"/>
        </w:rPr>
        <w:t>Credenciamento nº 009/2025</w:t>
      </w:r>
      <w:bookmarkEnd w:id="1"/>
    </w:p>
    <w:bookmarkEnd w:id="2"/>
    <w:bookmarkEnd w:id="3"/>
    <w:p w14:paraId="56C62793" w14:textId="38AD898D" w:rsidR="00114B88" w:rsidRPr="00EB0F9B" w:rsidRDefault="00AF41D1" w:rsidP="00EB0F9B">
      <w:pPr>
        <w:spacing w:line="360" w:lineRule="auto"/>
        <w:ind w:left="4248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CREDENCIAMENTO</w:t>
      </w:r>
      <w:r w:rsidR="00114B88" w:rsidRPr="00EB0F9B">
        <w:rPr>
          <w:rFonts w:ascii="Times New Roman" w:hAnsi="Times New Roman" w:cs="Times New Roman"/>
          <w:sz w:val="23"/>
          <w:szCs w:val="23"/>
        </w:rPr>
        <w:t xml:space="preserve"> QUE FAZEM ENTRE SI O MUNICIPIO, POR INTERMÉDIO DO (A) ......................................................... E </w:t>
      </w:r>
      <w:r w:rsidR="00EB0F9B" w:rsidRPr="00EB0F9B">
        <w:rPr>
          <w:rFonts w:ascii="Times New Roman" w:hAnsi="Times New Roman" w:cs="Times New Roman"/>
          <w:sz w:val="23"/>
          <w:szCs w:val="23"/>
        </w:rPr>
        <w:t xml:space="preserve">O LEILOEIRO </w:t>
      </w:r>
      <w:r w:rsidR="00114B88" w:rsidRPr="00EB0F9B">
        <w:rPr>
          <w:rFonts w:ascii="Times New Roman" w:hAnsi="Times New Roman" w:cs="Times New Roman"/>
          <w:sz w:val="23"/>
          <w:szCs w:val="23"/>
        </w:rPr>
        <w:t>..........................................................</w:t>
      </w:r>
    </w:p>
    <w:p w14:paraId="79A1B327" w14:textId="77777777" w:rsidR="00AF41D1" w:rsidRPr="00EB0F9B" w:rsidRDefault="00AF41D1" w:rsidP="00FE0EC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62C632" w14:textId="542CB061" w:rsidR="00AF41D1" w:rsidRPr="00EB0F9B" w:rsidRDefault="00CE387D" w:rsidP="00FE0EC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bCs/>
          <w:sz w:val="23"/>
          <w:szCs w:val="23"/>
          <w:lang w:val="pt-BR"/>
        </w:rPr>
        <w:t>O Município de Catuji, com sede no(a) Praça Getúlio Vargas, 21 – Centro CEP: 39.816-000, na cidade de Catuji/MG, inscrito(a) no CNPJ sob o nº 26.218.636/0001-06 neste ato representado(a) pelo(a) Prefeito (a) Maria José de Oliveira doravante denominado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 </w:t>
      </w:r>
      <w:r w:rsidR="00B62C89" w:rsidRPr="00EB0F9B">
        <w:rPr>
          <w:rFonts w:ascii="Times New Roman" w:hAnsi="Times New Roman" w:cs="Times New Roman"/>
          <w:sz w:val="23"/>
          <w:szCs w:val="23"/>
        </w:rPr>
        <w:t>MUNICÍPIO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 e a </w:t>
      </w:r>
      <w:r w:rsidR="0091225D" w:rsidRPr="00EB0F9B">
        <w:rPr>
          <w:rFonts w:ascii="Times New Roman" w:hAnsi="Times New Roman" w:cs="Times New Roman"/>
          <w:sz w:val="23"/>
          <w:szCs w:val="23"/>
        </w:rPr>
        <w:t>....................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, com sede na cidade de </w:t>
      </w:r>
      <w:r w:rsidR="0091225D" w:rsidRPr="00EB0F9B">
        <w:rPr>
          <w:rFonts w:ascii="Times New Roman" w:hAnsi="Times New Roman" w:cs="Times New Roman"/>
          <w:sz w:val="23"/>
          <w:szCs w:val="23"/>
        </w:rPr>
        <w:t>................</w:t>
      </w:r>
      <w:r w:rsidR="00AF41D1" w:rsidRPr="00EB0F9B">
        <w:rPr>
          <w:rFonts w:ascii="Times New Roman" w:hAnsi="Times New Roman" w:cs="Times New Roman"/>
          <w:sz w:val="23"/>
          <w:szCs w:val="23"/>
        </w:rPr>
        <w:t>, Estado de ..........., na</w:t>
      </w:r>
      <w:r w:rsidR="008D7EF3" w:rsidRPr="00EB0F9B">
        <w:rPr>
          <w:rFonts w:ascii="Times New Roman" w:hAnsi="Times New Roman" w:cs="Times New Roman"/>
          <w:sz w:val="23"/>
          <w:szCs w:val="23"/>
        </w:rPr>
        <w:t xml:space="preserve"> ...............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, nº </w:t>
      </w:r>
      <w:r w:rsidR="008D7EF3" w:rsidRPr="00EB0F9B">
        <w:rPr>
          <w:rFonts w:ascii="Times New Roman" w:hAnsi="Times New Roman" w:cs="Times New Roman"/>
          <w:sz w:val="23"/>
          <w:szCs w:val="23"/>
        </w:rPr>
        <w:t>..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- Bairro </w:t>
      </w:r>
      <w:r w:rsidR="008D7EF3" w:rsidRPr="00EB0F9B">
        <w:rPr>
          <w:rFonts w:ascii="Times New Roman" w:hAnsi="Times New Roman" w:cs="Times New Roman"/>
          <w:sz w:val="23"/>
          <w:szCs w:val="23"/>
        </w:rPr>
        <w:t>.......</w:t>
      </w:r>
      <w:r w:rsidR="00AF41D1" w:rsidRPr="00EB0F9B">
        <w:rPr>
          <w:rFonts w:ascii="Times New Roman" w:hAnsi="Times New Roman" w:cs="Times New Roman"/>
          <w:sz w:val="23"/>
          <w:szCs w:val="23"/>
        </w:rPr>
        <w:t>, inscrita no CNPJ sob o nº</w:t>
      </w:r>
      <w:r w:rsidR="008D7EF3" w:rsidRPr="00EB0F9B">
        <w:rPr>
          <w:rFonts w:ascii="Times New Roman" w:hAnsi="Times New Roman" w:cs="Times New Roman"/>
          <w:sz w:val="23"/>
          <w:szCs w:val="23"/>
        </w:rPr>
        <w:t xml:space="preserve"> ..........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, neste ato representada pelo Senhor(a) </w:t>
      </w:r>
      <w:r w:rsidR="008D7EF3" w:rsidRPr="00EB0F9B">
        <w:rPr>
          <w:rFonts w:ascii="Times New Roman" w:hAnsi="Times New Roman" w:cs="Times New Roman"/>
          <w:sz w:val="23"/>
          <w:szCs w:val="23"/>
        </w:rPr>
        <w:t>..............</w:t>
      </w:r>
      <w:r w:rsidR="00AF41D1" w:rsidRPr="00EB0F9B">
        <w:rPr>
          <w:rFonts w:ascii="Times New Roman" w:hAnsi="Times New Roman" w:cs="Times New Roman"/>
          <w:sz w:val="23"/>
          <w:szCs w:val="23"/>
        </w:rPr>
        <w:t>, portador(a) do CPF nº</w:t>
      </w:r>
      <w:r w:rsidR="008D7EF3" w:rsidRPr="00EB0F9B">
        <w:rPr>
          <w:rFonts w:ascii="Times New Roman" w:hAnsi="Times New Roman" w:cs="Times New Roman"/>
          <w:sz w:val="23"/>
          <w:szCs w:val="23"/>
        </w:rPr>
        <w:t xml:space="preserve"> ..***.***.</w:t>
      </w:r>
      <w:r w:rsidR="00CA424D" w:rsidRPr="00EB0F9B">
        <w:rPr>
          <w:rFonts w:ascii="Times New Roman" w:hAnsi="Times New Roman" w:cs="Times New Roman"/>
          <w:sz w:val="23"/>
          <w:szCs w:val="23"/>
        </w:rPr>
        <w:t>..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, que também subscreve, doravante denominada de </w:t>
      </w:r>
      <w:r w:rsidR="00B62655" w:rsidRPr="00EB0F9B">
        <w:rPr>
          <w:rFonts w:ascii="Times New Roman" w:hAnsi="Times New Roman" w:cs="Times New Roman"/>
          <w:sz w:val="23"/>
          <w:szCs w:val="23"/>
        </w:rPr>
        <w:t>CREDENCIADO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, devidamente autorizado nos autos do Processo Administrativo n° </w:t>
      </w:r>
      <w:r w:rsidR="00F15649" w:rsidRPr="00EB0F9B">
        <w:rPr>
          <w:rFonts w:ascii="Times New Roman" w:hAnsi="Times New Roman" w:cs="Times New Roman"/>
          <w:sz w:val="23"/>
          <w:szCs w:val="23"/>
        </w:rPr>
        <w:t>___/</w:t>
      </w:r>
      <w:r w:rsidR="000D6B6B" w:rsidRPr="00EB0F9B">
        <w:rPr>
          <w:rFonts w:ascii="Times New Roman" w:hAnsi="Times New Roman" w:cs="Times New Roman"/>
          <w:sz w:val="23"/>
          <w:szCs w:val="23"/>
        </w:rPr>
        <w:t>2025</w:t>
      </w:r>
      <w:r w:rsidR="00F15649" w:rsidRPr="00EB0F9B">
        <w:rPr>
          <w:rFonts w:ascii="Times New Roman" w:hAnsi="Times New Roman" w:cs="Times New Roman"/>
          <w:sz w:val="23"/>
          <w:szCs w:val="23"/>
        </w:rPr>
        <w:t xml:space="preserve"> 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Credenciamento nº </w:t>
      </w:r>
      <w:r w:rsidR="00F15649" w:rsidRPr="00EB0F9B">
        <w:rPr>
          <w:rFonts w:ascii="Times New Roman" w:hAnsi="Times New Roman" w:cs="Times New Roman"/>
          <w:sz w:val="23"/>
          <w:szCs w:val="23"/>
        </w:rPr>
        <w:t>____</w:t>
      </w:r>
      <w:r w:rsidR="001008AA" w:rsidRPr="00EB0F9B">
        <w:rPr>
          <w:rFonts w:ascii="Times New Roman" w:hAnsi="Times New Roman" w:cs="Times New Roman"/>
          <w:sz w:val="23"/>
          <w:szCs w:val="23"/>
        </w:rPr>
        <w:t>/</w:t>
      </w:r>
      <w:r w:rsidR="000D6B6B" w:rsidRPr="00EB0F9B">
        <w:rPr>
          <w:rFonts w:ascii="Times New Roman" w:hAnsi="Times New Roman" w:cs="Times New Roman"/>
          <w:sz w:val="23"/>
          <w:szCs w:val="23"/>
        </w:rPr>
        <w:t>2025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, têm entre si justo e </w:t>
      </w:r>
      <w:r w:rsidR="00B62655" w:rsidRPr="00EB0F9B">
        <w:rPr>
          <w:rFonts w:ascii="Times New Roman" w:hAnsi="Times New Roman" w:cs="Times New Roman"/>
          <w:sz w:val="23"/>
          <w:szCs w:val="23"/>
        </w:rPr>
        <w:t>Credenciado</w:t>
      </w:r>
      <w:r w:rsidR="00AF41D1" w:rsidRPr="00EB0F9B">
        <w:rPr>
          <w:rFonts w:ascii="Times New Roman" w:hAnsi="Times New Roman" w:cs="Times New Roman"/>
          <w:sz w:val="23"/>
          <w:szCs w:val="23"/>
        </w:rPr>
        <w:t xml:space="preserve"> o que segue:</w:t>
      </w:r>
    </w:p>
    <w:p w14:paraId="517759F8" w14:textId="77777777" w:rsidR="00EB0F9B" w:rsidRPr="00EB0F9B" w:rsidRDefault="00EB0F9B" w:rsidP="00FE0EC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BD7F612" w14:textId="5D52D0D9" w:rsidR="00AF41D1" w:rsidRPr="00EB0F9B" w:rsidRDefault="00ED3D22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>CLÁUSLA PRIMEIRA - DO OBJETO</w:t>
      </w:r>
    </w:p>
    <w:p w14:paraId="05CD54A0" w14:textId="77777777" w:rsidR="00ED3D22" w:rsidRPr="00EB0F9B" w:rsidRDefault="00C17223" w:rsidP="00FE0EC9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Credenciamento</w:t>
      </w:r>
      <w:r w:rsidR="001008AA" w:rsidRPr="00EB0F9B">
        <w:rPr>
          <w:rFonts w:ascii="Times New Roman" w:hAnsi="Times New Roman" w:cs="Times New Roman"/>
          <w:sz w:val="23"/>
          <w:szCs w:val="23"/>
        </w:rPr>
        <w:t xml:space="preserve"> </w:t>
      </w:r>
      <w:r w:rsidR="00ED3D22" w:rsidRPr="00EB0F9B">
        <w:rPr>
          <w:rFonts w:ascii="Times New Roman" w:hAnsi="Times New Roman" w:cs="Times New Roman"/>
          <w:sz w:val="23"/>
          <w:szCs w:val="23"/>
        </w:rPr>
        <w:t>para</w:t>
      </w:r>
      <w:r w:rsidR="001008AA" w:rsidRPr="00EB0F9B">
        <w:rPr>
          <w:rFonts w:ascii="Times New Roman" w:hAnsi="Times New Roman" w:cs="Times New Roman"/>
          <w:sz w:val="23"/>
          <w:szCs w:val="23"/>
        </w:rPr>
        <w:t xml:space="preserve"> </w:t>
      </w:r>
      <w:r w:rsidR="00ED3D22" w:rsidRPr="00EB0F9B">
        <w:rPr>
          <w:rFonts w:ascii="Times New Roman" w:hAnsi="Times New Roman" w:cs="Times New Roman"/>
          <w:sz w:val="23"/>
          <w:szCs w:val="23"/>
        </w:rPr>
        <w:t>......................................................................</w:t>
      </w:r>
      <w:r w:rsidRPr="00EB0F9B">
        <w:rPr>
          <w:rFonts w:ascii="Times New Roman" w:hAnsi="Times New Roman" w:cs="Times New Roman"/>
          <w:sz w:val="23"/>
          <w:szCs w:val="23"/>
        </w:rPr>
        <w:t>, nos termos e nas condições estabelecidas neste Edital</w:t>
      </w:r>
      <w:r w:rsidR="001008AA" w:rsidRPr="00EB0F9B">
        <w:rPr>
          <w:rFonts w:ascii="Times New Roman" w:hAnsi="Times New Roman" w:cs="Times New Roman"/>
          <w:sz w:val="23"/>
          <w:szCs w:val="23"/>
        </w:rPr>
        <w:t>.</w:t>
      </w:r>
    </w:p>
    <w:p w14:paraId="50141548" w14:textId="77777777" w:rsidR="00ED3D22" w:rsidRPr="00EB0F9B" w:rsidRDefault="00AF0541" w:rsidP="00FE0EC9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Vinculam esta contratação, independentemente de transição:</w:t>
      </w:r>
    </w:p>
    <w:p w14:paraId="7148B2B6" w14:textId="77777777" w:rsidR="00ED3D22" w:rsidRPr="00EB0F9B" w:rsidRDefault="00AF0541" w:rsidP="00FE0EC9">
      <w:pPr>
        <w:pStyle w:val="PargrafodaLista"/>
        <w:numPr>
          <w:ilvl w:val="2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O termo de referência;</w:t>
      </w:r>
    </w:p>
    <w:p w14:paraId="2952E069" w14:textId="77777777" w:rsidR="00ED3D22" w:rsidRPr="00EB0F9B" w:rsidRDefault="00AF0541" w:rsidP="00FE0EC9">
      <w:pPr>
        <w:pStyle w:val="PargrafodaLista"/>
        <w:numPr>
          <w:ilvl w:val="2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O edital da licitação;</w:t>
      </w:r>
    </w:p>
    <w:p w14:paraId="713EEA1D" w14:textId="77777777" w:rsidR="00ED3D22" w:rsidRPr="00EB0F9B" w:rsidRDefault="00983FE4" w:rsidP="00FE0EC9">
      <w:pPr>
        <w:pStyle w:val="PargrafodaLista"/>
        <w:numPr>
          <w:ilvl w:val="2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 solicitação de Credenciamento</w:t>
      </w:r>
      <w:r w:rsidR="00AF0541" w:rsidRPr="00EB0F9B">
        <w:rPr>
          <w:rFonts w:ascii="Times New Roman" w:hAnsi="Times New Roman" w:cs="Times New Roman"/>
          <w:sz w:val="23"/>
          <w:szCs w:val="23"/>
        </w:rPr>
        <w:t>;</w:t>
      </w:r>
    </w:p>
    <w:p w14:paraId="7E8F77DA" w14:textId="2F552A27" w:rsidR="00AF0541" w:rsidRPr="00EB0F9B" w:rsidRDefault="00AF0541" w:rsidP="00FE0EC9">
      <w:pPr>
        <w:pStyle w:val="PargrafodaLista"/>
        <w:numPr>
          <w:ilvl w:val="2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Eventuais anexos dos documentos supracitados.</w:t>
      </w:r>
    </w:p>
    <w:p w14:paraId="1F44E98C" w14:textId="6F4F627E" w:rsidR="00B80D24" w:rsidRPr="00EB0F9B" w:rsidRDefault="00ED3D22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  <w:lang w:val="pt-BR"/>
        </w:rPr>
        <w:t>CLÁUSULA SEGUNDA - VIGÊNCIA E PRORROGAÇÃO</w:t>
      </w:r>
    </w:p>
    <w:p w14:paraId="095E88BC" w14:textId="77777777" w:rsidR="007930BB" w:rsidRPr="00EB0F9B" w:rsidRDefault="007930BB" w:rsidP="00FE0EC9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>O presente Contrato será válido para 01 (um) certame, e terá vigência de 12 (doze) meses, contados do dia subsequente ao da publicação de seu resumo no Diário Eletrônico Oficial do Município.</w:t>
      </w:r>
    </w:p>
    <w:p w14:paraId="0AB05410" w14:textId="77777777" w:rsidR="007930BB" w:rsidRPr="00EB0F9B" w:rsidRDefault="007930BB" w:rsidP="00FE0EC9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>O termo de credenciamento poderá ser prorrogado, excepcionalmente, até a conclusão da efetiva prestação de contas do Leilão, em caso de atraso devidamente justificado, dentro dos limites legais.</w:t>
      </w:r>
    </w:p>
    <w:p w14:paraId="2995B365" w14:textId="77777777" w:rsidR="007930BB" w:rsidRPr="00EB0F9B" w:rsidRDefault="007930BB" w:rsidP="00FE0EC9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lastRenderedPageBreak/>
        <w:t>Com a efetiva prestação de contas do Leilão o contrato poderá ser extinto, em virtude do cumprimento integral do objeto, ainda que haja prazo de vigência remanescente.</w:t>
      </w:r>
    </w:p>
    <w:p w14:paraId="47F55E91" w14:textId="6F0FEB67" w:rsidR="00B80D24" w:rsidRPr="00EB0F9B" w:rsidRDefault="007930BB" w:rsidP="00FE0EC9">
      <w:pPr>
        <w:pStyle w:val="PargrafodaLista"/>
        <w:numPr>
          <w:ilvl w:val="1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>O prazo do Leiloeiro Oficial para realização do leilão será de até 90 (noventa) dias a partir da contratação</w:t>
      </w:r>
      <w:r w:rsidR="00B80D24" w:rsidRPr="00EB0F9B">
        <w:rPr>
          <w:rFonts w:ascii="Times New Roman" w:hAnsi="Times New Roman" w:cs="Times New Roman"/>
          <w:sz w:val="23"/>
          <w:szCs w:val="23"/>
          <w:lang w:val="pt-BR"/>
        </w:rPr>
        <w:t>.</w:t>
      </w:r>
    </w:p>
    <w:p w14:paraId="31E49152" w14:textId="77777777" w:rsidR="00537DF3" w:rsidRPr="00EB0F9B" w:rsidRDefault="00C35EF6" w:rsidP="00FE0E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TERCEIRA –DA EXECUÇÃO E GESTÃO CONTRATUAIS </w:t>
      </w:r>
    </w:p>
    <w:p w14:paraId="15D3F253" w14:textId="0DDECDFB" w:rsidR="00C35EF6" w:rsidRPr="00EB0F9B" w:rsidRDefault="00537DF3" w:rsidP="00FE0EC9">
      <w:pPr>
        <w:pStyle w:val="PargrafodaLista"/>
        <w:numPr>
          <w:ilvl w:val="1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 xml:space="preserve">O regime de execução contratual, o modelo de gestão, assim como os prazos e condições de conclusão, entrega, observação e recebimento definitivo constam no Termo de Referência, anexo a este </w:t>
      </w:r>
      <w:r w:rsidR="00B62655" w:rsidRPr="00EB0F9B">
        <w:rPr>
          <w:rFonts w:ascii="Times New Roman" w:hAnsi="Times New Roman" w:cs="Times New Roman"/>
          <w:sz w:val="23"/>
          <w:szCs w:val="23"/>
          <w:lang w:val="pt-BR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  <w:lang w:val="pt-BR"/>
        </w:rPr>
        <w:t>.</w:t>
      </w:r>
    </w:p>
    <w:p w14:paraId="0B656679" w14:textId="77777777" w:rsidR="00537DF3" w:rsidRPr="00EB0F9B" w:rsidRDefault="00537DF3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QUARTA - SUBCONTRATAÇÃO </w:t>
      </w:r>
    </w:p>
    <w:p w14:paraId="429AFA7C" w14:textId="6B9A2B1B" w:rsidR="00537DF3" w:rsidRPr="00EB0F9B" w:rsidRDefault="00537DF3" w:rsidP="00FE0EC9">
      <w:pPr>
        <w:pStyle w:val="PargrafodaLista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Não será admitida a subcontratação do objeto contratual.</w:t>
      </w:r>
    </w:p>
    <w:p w14:paraId="5CAD96AF" w14:textId="77777777" w:rsidR="00537DF3" w:rsidRPr="00EB0F9B" w:rsidRDefault="00537DF3" w:rsidP="00FE0E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>CLÁUSULA QUINTA – PREÇO</w:t>
      </w:r>
    </w:p>
    <w:p w14:paraId="2EF8A38B" w14:textId="32C86DA0" w:rsidR="001A0FE4" w:rsidRPr="00EB0F9B" w:rsidRDefault="005A5C83" w:rsidP="00FE0EC9">
      <w:pPr>
        <w:pStyle w:val="PargrafodaLista"/>
        <w:numPr>
          <w:ilvl w:val="1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Não há valor a ser pago pela Contratante ao Contratado em virtude das especificidades dos serviços, em que o Contratado é remunerado pelo arrematante do lote no Leilão, em percentual e condições definidos na Cláusula sétima a seguir.</w:t>
      </w:r>
    </w:p>
    <w:p w14:paraId="2A9AED78" w14:textId="3A06B91F" w:rsidR="00744976" w:rsidRPr="00EB0F9B" w:rsidRDefault="002438EA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SEXTA </w:t>
      </w:r>
      <w:r w:rsidR="00744976" w:rsidRPr="00EB0F9B">
        <w:rPr>
          <w:rFonts w:ascii="Times New Roman" w:hAnsi="Times New Roman" w:cs="Times New Roman"/>
          <w:b/>
          <w:sz w:val="23"/>
          <w:szCs w:val="23"/>
        </w:rPr>
        <w:t>–</w:t>
      </w:r>
      <w:r w:rsidRPr="00EB0F9B">
        <w:rPr>
          <w:rFonts w:ascii="Times New Roman" w:hAnsi="Times New Roman" w:cs="Times New Roman"/>
          <w:b/>
          <w:sz w:val="23"/>
          <w:szCs w:val="23"/>
        </w:rPr>
        <w:t xml:space="preserve"> PAGAMENTO</w:t>
      </w:r>
    </w:p>
    <w:p w14:paraId="4BFAD259" w14:textId="26FC915D" w:rsidR="00537DF3" w:rsidRPr="00EB0F9B" w:rsidRDefault="002438EA" w:rsidP="00FE0EC9">
      <w:pPr>
        <w:pStyle w:val="PargrafodaLista"/>
        <w:numPr>
          <w:ilvl w:val="1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O prazo para pagamento ao </w:t>
      </w:r>
      <w:r w:rsidR="00B62655" w:rsidRPr="00EB0F9B">
        <w:rPr>
          <w:rFonts w:ascii="Times New Roman" w:hAnsi="Times New Roman" w:cs="Times New Roman"/>
          <w:sz w:val="23"/>
          <w:szCs w:val="23"/>
        </w:rPr>
        <w:t>Credenciado</w:t>
      </w:r>
      <w:r w:rsidRPr="00EB0F9B">
        <w:rPr>
          <w:rFonts w:ascii="Times New Roman" w:hAnsi="Times New Roman" w:cs="Times New Roman"/>
          <w:sz w:val="23"/>
          <w:szCs w:val="23"/>
        </w:rPr>
        <w:t xml:space="preserve"> e demais condições a ele referentes encontram-se definidos no Termo de Referência, anexo a este Termo de Credenciamento.</w:t>
      </w:r>
    </w:p>
    <w:p w14:paraId="788E24C0" w14:textId="77777777" w:rsidR="00522168" w:rsidRPr="00EB0F9B" w:rsidRDefault="002F31E1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SÉTIMA - REAJUSTE </w:t>
      </w:r>
    </w:p>
    <w:p w14:paraId="28A294A4" w14:textId="16B9B398" w:rsidR="008D3EDF" w:rsidRPr="00EB0F9B" w:rsidRDefault="005A5C83" w:rsidP="00FE0EC9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>Os preços inicialmente contratados são fixos e irreajustáveis até o final da vigência do presente instrumento</w:t>
      </w:r>
      <w:r w:rsidR="002F31E1" w:rsidRPr="00EB0F9B">
        <w:rPr>
          <w:rFonts w:ascii="Times New Roman" w:hAnsi="Times New Roman" w:cs="Times New Roman"/>
          <w:sz w:val="23"/>
          <w:szCs w:val="23"/>
        </w:rPr>
        <w:t>.</w:t>
      </w:r>
    </w:p>
    <w:p w14:paraId="2ABD9CD1" w14:textId="217668BF" w:rsidR="00473C9B" w:rsidRPr="00EB0F9B" w:rsidRDefault="00473C9B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b/>
          <w:sz w:val="23"/>
          <w:szCs w:val="23"/>
          <w:lang w:val="pt-BR"/>
        </w:rPr>
        <w:t xml:space="preserve">CLÁUSULA OITAVA - OBRIGAÇÕES DO </w:t>
      </w:r>
      <w:r w:rsidR="00B62655" w:rsidRPr="00EB0F9B">
        <w:rPr>
          <w:rFonts w:ascii="Times New Roman" w:hAnsi="Times New Roman" w:cs="Times New Roman"/>
          <w:b/>
          <w:sz w:val="23"/>
          <w:szCs w:val="23"/>
          <w:lang w:val="pt-BR"/>
        </w:rPr>
        <w:t>MUNICÍPIO</w:t>
      </w:r>
    </w:p>
    <w:p w14:paraId="697AB4C8" w14:textId="77777777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Assegurar o livre acesso ao Leiloeiro e à sua equipe, quando devidamente identificados, aos locais onde estão acondicionados os bens a serem leiloados.</w:t>
      </w:r>
    </w:p>
    <w:p w14:paraId="23763C57" w14:textId="40B005B8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Prestar todas as informações e esclarecimentos que o credenciado e sua equipe responsável pela realização do Leilão venham a solicitar para o desenvolvimento dos trabalhos.</w:t>
      </w:r>
    </w:p>
    <w:p w14:paraId="09F5ADBA" w14:textId="3BD833F1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Aprovar minuta de Edital de Leilão, quando apresentada pelo Leiloeiro Oficial contratado, conforme análise da Procuradoria Jurídica.</w:t>
      </w:r>
    </w:p>
    <w:p w14:paraId="31165D10" w14:textId="704D850E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Supervisionar, acompanhar e fiscalizar permanentemente a prestação do serviço, sem prejuízo das responsabilidades que cabem aos contratados.</w:t>
      </w:r>
    </w:p>
    <w:p w14:paraId="41FCF3E6" w14:textId="68F6687D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Cumprir e fazer cumprir as disposições regulamentares do serviço e as cláusulas do contrato.</w:t>
      </w:r>
    </w:p>
    <w:p w14:paraId="444A37C5" w14:textId="50136DBC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Zelar pela boa qualidade do serviço, receber e apurar queixas e reclamações dos usuários.</w:t>
      </w:r>
    </w:p>
    <w:p w14:paraId="4D95FD7E" w14:textId="14659579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Estimular a associação dos usuários para a defesa de seus interesses relativos ao serviço, inclusive para sua fiscalização.</w:t>
      </w:r>
    </w:p>
    <w:p w14:paraId="0E2AAA63" w14:textId="18240413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Intervir na prestação do serviço, retomá-lo e extinguir o contrato, nos casos e nas condições previstas em Lei e no Contrato.</w:t>
      </w:r>
    </w:p>
    <w:p w14:paraId="15D742C0" w14:textId="38BCFA76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lastRenderedPageBreak/>
        <w:t>Aplicar as penalidades legais e contratuais.</w:t>
      </w:r>
    </w:p>
    <w:p w14:paraId="7E288EB9" w14:textId="44E14520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Notificar o Leiloeiro Oficial, por escrito, fixando-lhe prazo para corrigir defeitos ou irregularidades encontradas na execução do serviço prestado.</w:t>
      </w:r>
    </w:p>
    <w:p w14:paraId="74F83A47" w14:textId="1125C8AD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Disponibilizar, caso o bem a ser leiloado seja veículo automotor, a documentação respectiva.</w:t>
      </w:r>
    </w:p>
    <w:p w14:paraId="32F316B2" w14:textId="71904579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Disponibilizar relação dos lotes cuja alienação é autorizada, devidamente acompanhada da documentação que os declara inteiramente regulares, livres e desembaraçados de ônus, pendências judiciais ou extrajudiciais, com todas as informações necessárias para venda, tais como: descrição do bem, número de patrimônio, serviços/procedimentos necessários para regularização, débitos existentes, dentre outros;</w:t>
      </w:r>
    </w:p>
    <w:p w14:paraId="3B1300FC" w14:textId="46C62EBD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Fixar o preço mínimo de arrematação, conforme a legislação vigente;</w:t>
      </w:r>
    </w:p>
    <w:p w14:paraId="63198ACD" w14:textId="3BFBE532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Providenciar as publicações no Diário Eletrônico Oficial da Municipalidade e site oficial da Municipalidade, bem como, em jornal de circulação de que trata o art. 174, § 2º, inciso III, da Lei n° 14.133/21; o) Formalizar a venda dos lotes arrematados com os respectivos compradores;</w:t>
      </w:r>
    </w:p>
    <w:p w14:paraId="65EED0B5" w14:textId="49949584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Notificar, por escrito, a Contratada da ocorrência de quaisquer irregularidades constatadas na execução dos serviços;</w:t>
      </w:r>
    </w:p>
    <w:p w14:paraId="15C9A1B9" w14:textId="6438C770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Autorizar, a Comissão de Leilão para providenciar a avaliação e fixar o preço mínimo de arrematação ou quando necessário, poderá a Comissão do Leilão, solicitar a contratação de empresa especializada para tal atividade, que providenciará a avaliação, o levantamento dos lotes e os registros das respectivas informações necessárias para apresentar a indicação dos valores mínimos de arrematação dos lotes;</w:t>
      </w:r>
    </w:p>
    <w:p w14:paraId="48D4C14F" w14:textId="7147EF66" w:rsidR="009B1F95" w:rsidRPr="00EB0F9B" w:rsidRDefault="009B1F95" w:rsidP="00FE0EC9">
      <w:pPr>
        <w:pStyle w:val="PargrafodaLista"/>
        <w:numPr>
          <w:ilvl w:val="1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x-none"/>
        </w:rPr>
      </w:pPr>
      <w:r w:rsidRPr="00EB0F9B">
        <w:rPr>
          <w:rFonts w:ascii="Times New Roman" w:hAnsi="Times New Roman" w:cs="Times New Roman"/>
          <w:sz w:val="23"/>
          <w:szCs w:val="23"/>
          <w:lang w:val="x-none"/>
        </w:rPr>
        <w:t>Fiscalizar, através da Comissão de Leilão designada para este fim, a exata execução do Contrato, informando à Autoridade competente eventuais irregularidades na sua execução, para a adoção das providências legalmente estabelecidas.</w:t>
      </w:r>
    </w:p>
    <w:p w14:paraId="296AE582" w14:textId="6633898C" w:rsidR="00473C9B" w:rsidRPr="00EB0F9B" w:rsidRDefault="00473C9B" w:rsidP="00FE0EC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pt-BR" w:eastAsia="pt-BR"/>
        </w:rPr>
      </w:pPr>
      <w:r w:rsidRPr="00EB0F9B">
        <w:rPr>
          <w:rFonts w:ascii="Times New Roman" w:eastAsia="Times New Roman" w:hAnsi="Times New Roman" w:cs="Times New Roman"/>
          <w:b/>
          <w:sz w:val="23"/>
          <w:szCs w:val="23"/>
          <w:lang w:val="pt-BR" w:eastAsia="pt-BR"/>
        </w:rPr>
        <w:t xml:space="preserve">CLÁUSULA NONA - OBRIGAÇÕES DO </w:t>
      </w:r>
      <w:r w:rsidR="00B62655" w:rsidRPr="00EB0F9B">
        <w:rPr>
          <w:rFonts w:ascii="Times New Roman" w:eastAsia="Times New Roman" w:hAnsi="Times New Roman" w:cs="Times New Roman"/>
          <w:b/>
          <w:sz w:val="23"/>
          <w:szCs w:val="23"/>
          <w:lang w:val="pt-BR" w:eastAsia="pt-BR"/>
        </w:rPr>
        <w:t>CREDENCIADO</w:t>
      </w:r>
      <w:r w:rsidRPr="00EB0F9B">
        <w:rPr>
          <w:rFonts w:ascii="Times New Roman" w:eastAsia="Times New Roman" w:hAnsi="Times New Roman" w:cs="Times New Roman"/>
          <w:b/>
          <w:sz w:val="23"/>
          <w:szCs w:val="23"/>
          <w:lang w:val="pt-BR" w:eastAsia="pt-BR"/>
        </w:rPr>
        <w:t xml:space="preserve"> </w:t>
      </w:r>
    </w:p>
    <w:p w14:paraId="377CB281" w14:textId="5A2DACD0" w:rsidR="00E34CCC" w:rsidRPr="00EB0F9B" w:rsidRDefault="00E34CCC" w:rsidP="00FE0EC9">
      <w:pPr>
        <w:pStyle w:val="PargrafodaLista"/>
        <w:numPr>
          <w:ilvl w:val="1"/>
          <w:numId w:val="2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 w:eastAsia="x-none"/>
        </w:rPr>
      </w:pPr>
      <w:r w:rsidRPr="00EB0F9B">
        <w:rPr>
          <w:rFonts w:ascii="Times New Roman" w:eastAsia="Times New Roman" w:hAnsi="Times New Roman" w:cs="Times New Roman"/>
          <w:sz w:val="23"/>
          <w:szCs w:val="23"/>
          <w:lang w:val="pt-BR" w:eastAsia="x-none"/>
        </w:rPr>
        <w:t xml:space="preserve">As obrigações do Leiloeiro são as constantes </w:t>
      </w:r>
      <w:r w:rsidR="0032105A" w:rsidRPr="00EB0F9B">
        <w:rPr>
          <w:rFonts w:ascii="Times New Roman" w:eastAsia="Times New Roman" w:hAnsi="Times New Roman" w:cs="Times New Roman"/>
          <w:sz w:val="23"/>
          <w:szCs w:val="23"/>
          <w:lang w:val="pt-BR" w:eastAsia="x-none"/>
        </w:rPr>
        <w:t>no</w:t>
      </w:r>
      <w:r w:rsidRPr="00EB0F9B">
        <w:rPr>
          <w:rFonts w:ascii="Times New Roman" w:eastAsia="Times New Roman" w:hAnsi="Times New Roman" w:cs="Times New Roman"/>
          <w:sz w:val="23"/>
          <w:szCs w:val="23"/>
          <w:lang w:val="pt-BR" w:eastAsia="x-none"/>
        </w:rPr>
        <w:t xml:space="preserve"> Termo de Referência e seus anexos, além das previstas no Decreto Federal n° 21.981, de 19 de outubro de 1932, dentre as quais: </w:t>
      </w:r>
    </w:p>
    <w:p w14:paraId="750C4192" w14:textId="77777777" w:rsidR="003966D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 w:eastAsia="x-none"/>
        </w:rPr>
      </w:pPr>
      <w:r w:rsidRPr="00EB0F9B">
        <w:rPr>
          <w:rFonts w:ascii="Times New Roman" w:eastAsia="Times New Roman" w:hAnsi="Times New Roman" w:cs="Times New Roman"/>
          <w:sz w:val="23"/>
          <w:szCs w:val="23"/>
          <w:lang w:val="pt-BR" w:eastAsia="x-none"/>
        </w:rPr>
        <w:t xml:space="preserve">Realizar os Leilões de acordo com expressa determinação da Municipalidade em datas aprazadas, divulgando-se os respectivos editais com antecedência mínima de 15 (quinze) dias úteis, se outro não for o prazo estabelecido pela Administração. </w:t>
      </w:r>
    </w:p>
    <w:p w14:paraId="75C20290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Divulgar o Leilão em endereço eletrônico e confeccionar material publicitário impresso sobre o Leilão, sob forma de cartilha, livreto, folheto, dentre outros, identificando sempre a melhor forma de publicidade de acordo com a natureza do bem ofertado e os possíveis interessados em adquiri-los, além de divulgar o Leilão em jornal de grande circulação regional, no site oficial da Municipalidade e no Diário Eletrônico Oficial da Municipalidade (estes dois últimos, por intermédio da Comissão de Contratação), dentre outros meios de divulgação que julgar pertinentes, fazendo constar, na divulgação </w:t>
      </w:r>
      <w:r w:rsidRPr="00EB0F9B">
        <w:rPr>
          <w:rFonts w:ascii="Times New Roman" w:hAnsi="Times New Roman" w:cs="Times New Roman"/>
          <w:sz w:val="23"/>
          <w:szCs w:val="23"/>
        </w:rPr>
        <w:lastRenderedPageBreak/>
        <w:t xml:space="preserve">do evento na Internet e no material impresso, a descrição dos bens ofertados, existência de débitos, taxas, impostos, ônus, multas e gravames, incidentes sobre os bens, informações sobre o Leilão, telefones para contato e demais esclarecimentos que se fizerem necessários. </w:t>
      </w:r>
    </w:p>
    <w:p w14:paraId="131BA2EB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Realizar os Leilões na modalidade presencial e online simultaneamente via internet, com projeção de fotografias dos bens, contendo informações e imagens dos bens, permitindo o recebimento de lances, por meio eletrônico, de forma simultânea aos lances presenciais.</w:t>
      </w:r>
    </w:p>
    <w:p w14:paraId="2D81D87C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Tornar conhecidas, quando da publicidade dos eventos, as condições das vendas, formas de pagamento, entrega dos bens, estado, qualidade e quantidade.</w:t>
      </w:r>
    </w:p>
    <w:p w14:paraId="05CD373C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Convocado pela Municipalidade, elaborar a minuta de Edital de Leilão, com auxílio da Comissão de Contratação, fazendo constar a descrição e lugar onde se encontram os bens a serem leiloados.</w:t>
      </w:r>
      <w:r w:rsidR="003D068B" w:rsidRPr="00EB0F9B">
        <w:rPr>
          <w:rFonts w:ascii="Times New Roman" w:hAnsi="Times New Roman" w:cs="Times New Roman"/>
          <w:sz w:val="23"/>
          <w:szCs w:val="23"/>
        </w:rPr>
        <w:t xml:space="preserve"> </w:t>
      </w:r>
      <w:r w:rsidRPr="00EB0F9B">
        <w:rPr>
          <w:rFonts w:ascii="Times New Roman" w:hAnsi="Times New Roman" w:cs="Times New Roman"/>
          <w:sz w:val="23"/>
          <w:szCs w:val="23"/>
        </w:rPr>
        <w:t>A referida minuta será objeto de análise e validação da Procuradoria Jurídica da Municipalidade.</w:t>
      </w:r>
    </w:p>
    <w:p w14:paraId="4F664FAF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Avaliar e elaborar documento de avaliação com ficha e registro fotográfico dos bens, contendo o valor do lance inicial esmado para venda, dentro do prazo acordado com a Municipalidade, tomando por base o valor levantado pela Comissão de Leilão, conforme pesquisa feita junto a outros Leiloeiros Oficiais.</w:t>
      </w:r>
    </w:p>
    <w:p w14:paraId="349D99D5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Emir nota de venda para cada lote, a fim de atestar a arrematação do bem por meio de Leilão público.</w:t>
      </w:r>
    </w:p>
    <w:p w14:paraId="34163BE1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Depositar em conta definida pela Municipalidade, dentro de 5 (cinco) dias corridos, o valor da alienação, se recebida diretamente. </w:t>
      </w:r>
    </w:p>
    <w:p w14:paraId="0893D0C9" w14:textId="7F8BDFD0" w:rsidR="00E34CCC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Apresentar a Ata de realização do leilão até 7 (sete) dias após a realização da sessão pública do certame, contendo, dentre outras as seguintes informações:</w:t>
      </w:r>
    </w:p>
    <w:p w14:paraId="5DB71FE6" w14:textId="77777777" w:rsidR="003D068B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nome completo/razão social, CPF/CNPJ e documento de identificação do arrematante vencedor;</w:t>
      </w:r>
    </w:p>
    <w:p w14:paraId="66CACC7A" w14:textId="77777777" w:rsidR="003D068B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endereço e telefone do arrematante vencedor;</w:t>
      </w:r>
    </w:p>
    <w:p w14:paraId="3ECE92BD" w14:textId="77777777" w:rsidR="003D068B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valor do preço mínimo;</w:t>
      </w:r>
    </w:p>
    <w:p w14:paraId="5A25C604" w14:textId="77777777" w:rsidR="003D068B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valor do lance vencedor ofertado.</w:t>
      </w:r>
    </w:p>
    <w:p w14:paraId="430F3314" w14:textId="34451AE6" w:rsidR="00E34CCC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quantidade de lotes não arrematados, quantidade de lotes em condicional, se houver. A Comissão Especial de Leilão, poderá autorizar a venda do lote não pago pelo 1º colocado pelo mesmo valor do lance vencedor aos suplentes cadastrados. Não havendo interesse dos suplentes consultados, a Comissão poderá autorizar a venda pelo mesmo valor do último lance do suplente consultado. </w:t>
      </w:r>
    </w:p>
    <w:p w14:paraId="6CD1F9F7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Entregar orientação, por escrito, ao arrematante, quando se tratar de venda de veículo automotor, informando que ele deverá transferir a titularidade da documentação para o seu nome no prazo de até 20 (vinte) dias corridos da data informada no documento de transferência, cumprindo, se necessária, as exigências legais do DETRAN. </w:t>
      </w:r>
    </w:p>
    <w:p w14:paraId="41425414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lastRenderedPageBreak/>
        <w:t xml:space="preserve">Não utilizar o nome do Município, em quaisquer atividades de divulgação profissional, como por exemplo, em cartões de visita, anúncios diversos, impressos, com exceção da divulgação do evento específico. </w:t>
      </w:r>
    </w:p>
    <w:p w14:paraId="3389C73F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Atender interessados, mantendo plantões inclusive no final de semana, devendo conduzir o Leilão e responsabilizar-se por todos os atos administrativos de sua competência até o encerramento, com emissão de autorização para a retirada dos bens arrematados e pagos, acompanhamento de entrega dos bens pela Coordenação de Patrimônio e prestação de contas, além de dirimir as dúvidas dos arrematantes com relação ao pagamento e transferência de propriedade. </w:t>
      </w:r>
    </w:p>
    <w:p w14:paraId="688F7459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Juntamente com a ata, apresentar cópia dos Autos de Arrematação e dos recibos das comissões pagas pelos arrematantes vencedores.</w:t>
      </w:r>
    </w:p>
    <w:p w14:paraId="6492356A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Responsabilizar-se por todo e qualquer dano que causar à Administração ou a terceiros, ainda que culposo, decorrente da sua atividade, devendo adotar as providências saneadoras de forma imediata.</w:t>
      </w:r>
    </w:p>
    <w:p w14:paraId="14582226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Disponibilizar recursos humanos para fins da execução da sua atividade, devidamente identificados por meio de crachá. </w:t>
      </w:r>
    </w:p>
    <w:p w14:paraId="6B2ACE97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Cumprir rigorosamente toda a legislação aplicável à execução do Leilão. </w:t>
      </w:r>
    </w:p>
    <w:p w14:paraId="19748318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Manter, durante toda a execução do contrato, em compatibilidade com as obrigações por ele assumidas, todas as condições de habilitação e qualificação exigidas quando do credenciamento. </w:t>
      </w:r>
    </w:p>
    <w:p w14:paraId="76EBC8C8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Receber diretamente a comissão paga pelo arrematante do bem no Leilão Oficial, na proporção de 5% (cinco por cento) do valor do lance vencedor, conforme parágrafo único do art. 24 do Decreto nº 21.981, de 19.10.32. </w:t>
      </w:r>
    </w:p>
    <w:p w14:paraId="1C42D49D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O Leiloeiro obriga-se a restituir ao arrematante o valor pago a título de comissão, sem direito a reembolso, nos casos em que a contratação da venda não possa ser concluída, por responsabilidade do Leiloeiro. </w:t>
      </w:r>
    </w:p>
    <w:p w14:paraId="4B222E9C" w14:textId="77777777" w:rsidR="003D068B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O Leiloeiro somente receberá a comissão referente aos bens efetivamente vendidos. </w:t>
      </w:r>
    </w:p>
    <w:p w14:paraId="5E32EC67" w14:textId="77777777" w:rsidR="009450F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Administrar a liberação dos bens aos arrematantes após o efetivo pagamento e crédito na conta bancária do Poder Executivo municipal de </w:t>
      </w:r>
      <w:r w:rsidR="003D068B" w:rsidRPr="00EB0F9B">
        <w:rPr>
          <w:rFonts w:ascii="Times New Roman" w:hAnsi="Times New Roman" w:cs="Times New Roman"/>
          <w:sz w:val="23"/>
          <w:szCs w:val="23"/>
        </w:rPr>
        <w:t>Catuji/MG</w:t>
      </w:r>
      <w:r w:rsidRPr="00EB0F9B">
        <w:rPr>
          <w:rFonts w:ascii="Times New Roman" w:hAnsi="Times New Roman" w:cs="Times New Roman"/>
          <w:sz w:val="23"/>
          <w:szCs w:val="23"/>
        </w:rPr>
        <w:t>.</w:t>
      </w:r>
    </w:p>
    <w:p w14:paraId="19FEE63F" w14:textId="77777777" w:rsidR="009450F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Fazer a conferência dos bens removidos (estado de conservação, dentre outros), tirar fotos dos bens, cópia de documentos comprobatórios da propriedade e levantamento de ônus.</w:t>
      </w:r>
    </w:p>
    <w:p w14:paraId="1F22D29D" w14:textId="77777777" w:rsidR="009450F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Auxiliar os integrantes da Comissão Especial de Leilão na avaliação de bens inservíveis, quando determinado pela Municipalidade.</w:t>
      </w:r>
    </w:p>
    <w:p w14:paraId="6EB79AEE" w14:textId="77777777" w:rsidR="009450F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Prestar contas à Municipalidade no prazo máximo de 30 (trinta) dias corridos, contados a partir do primeiro dia útil após a data de realização do Leilão, juntamente com o relatório de detalhamento do Leilão.</w:t>
      </w:r>
    </w:p>
    <w:p w14:paraId="1FC8E4CF" w14:textId="77777777" w:rsidR="009450F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Informar à Municipalidade qualquer anormalidade que verificar na execução dos serviços, </w:t>
      </w:r>
      <w:r w:rsidRPr="00EB0F9B">
        <w:rPr>
          <w:rFonts w:ascii="Times New Roman" w:hAnsi="Times New Roman" w:cs="Times New Roman"/>
          <w:sz w:val="23"/>
          <w:szCs w:val="23"/>
        </w:rPr>
        <w:lastRenderedPageBreak/>
        <w:t>mesmo que estes não sejam de sua competência.</w:t>
      </w:r>
    </w:p>
    <w:p w14:paraId="6EE8D192" w14:textId="77777777" w:rsidR="009450F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Responder, perante o Contratante, pela perda ou extravio de fundos em dinheiro, existentes em seu poder, ainda que o dano provenha de caso fortuito ou de forca maior.</w:t>
      </w:r>
    </w:p>
    <w:p w14:paraId="286F6CFF" w14:textId="77777777" w:rsidR="003335C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Guardar sigilo das informações que lhe serão repassadas para realização do certame, e responsabilizar-se, perante o Contratante, pela indenização de eventuais danos decorrentes da quebra do sigilo dessas informações, ou pelo seu uso indevido.</w:t>
      </w:r>
    </w:p>
    <w:p w14:paraId="3E751569" w14:textId="77777777" w:rsidR="003335C2" w:rsidRPr="00EB0F9B" w:rsidRDefault="003335C2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 xml:space="preserve">Prestar os esclarecimentos que lhe forem solicitados e atender prontamente às reclamações sobre seus serviços. </w:t>
      </w:r>
    </w:p>
    <w:p w14:paraId="2B4A5526" w14:textId="6C100AA4" w:rsidR="00E34CCC" w:rsidRPr="00EB0F9B" w:rsidRDefault="003335C2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>Fornecer aos clientes/arrematantes, arrematação (duas vias) contendo:</w:t>
      </w:r>
    </w:p>
    <w:p w14:paraId="5911BBD1" w14:textId="77777777" w:rsidR="003335C2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Discriminação do lote e seu correspondente número de identificação; </w:t>
      </w:r>
    </w:p>
    <w:p w14:paraId="605AECEB" w14:textId="77777777" w:rsidR="003335C2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O valor da arrematação e os encargos financeiros; </w:t>
      </w:r>
    </w:p>
    <w:p w14:paraId="13C15EAF" w14:textId="77777777" w:rsidR="003335C2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O nome do arrematante, RG e seu CPF; </w:t>
      </w:r>
    </w:p>
    <w:p w14:paraId="1E212C31" w14:textId="4E259B3D" w:rsidR="00E34CCC" w:rsidRPr="00EB0F9B" w:rsidRDefault="00E34CCC" w:rsidP="00FE0EC9">
      <w:pPr>
        <w:pStyle w:val="PargrafodaLista"/>
        <w:numPr>
          <w:ilvl w:val="3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Dados para o depósito bancário, guias de pagamentos/recolhimentos ou código de barras, direcionando o pagamento dos valores devidos pelos arrematantes. </w:t>
      </w:r>
    </w:p>
    <w:p w14:paraId="17606121" w14:textId="77777777" w:rsidR="003335C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Prestar os esclarecimentos que lhe forem solicitados e atender prontamente às reclamações sobre seus serviços. </w:t>
      </w:r>
    </w:p>
    <w:p w14:paraId="0499DD18" w14:textId="77777777" w:rsidR="003335C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Fornecer aos clientes/arrematantes, arrematação (duas vias) contendo: </w:t>
      </w:r>
    </w:p>
    <w:p w14:paraId="50F22022" w14:textId="77777777" w:rsidR="003335C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Envidar esforços no sentido de efetuar a venda de todos os lotes. </w:t>
      </w:r>
    </w:p>
    <w:p w14:paraId="1AB8F00B" w14:textId="77777777" w:rsidR="003335C2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Arcar com todos os encargos e obrigações trabalhistas, previdenciárias, fiscais, tributárias e comerciais, resultantes da execução do Contrato, bem como pelo pagamento de quaisquer preços públicos que se tenham por devidos</w:t>
      </w:r>
      <w:r w:rsidR="003335C2" w:rsidRPr="00EB0F9B">
        <w:rPr>
          <w:rFonts w:ascii="Times New Roman" w:hAnsi="Times New Roman" w:cs="Times New Roman"/>
          <w:sz w:val="23"/>
          <w:szCs w:val="23"/>
        </w:rPr>
        <w:t>.</w:t>
      </w:r>
    </w:p>
    <w:p w14:paraId="3D6AF286" w14:textId="3D91BAD2" w:rsidR="00E34CCC" w:rsidRPr="00EB0F9B" w:rsidRDefault="00E34CCC" w:rsidP="00FE0EC9">
      <w:pPr>
        <w:pStyle w:val="PargrafodaLista"/>
        <w:numPr>
          <w:ilvl w:val="2"/>
          <w:numId w:val="2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Acusar o recebimento de tudo que lhe for confiado para alienação.</w:t>
      </w:r>
    </w:p>
    <w:p w14:paraId="580D32CE" w14:textId="7D401692" w:rsidR="009D6D02" w:rsidRPr="00EB0F9B" w:rsidRDefault="009D6D02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DÉCIMA – GARANTIA DE EXECUÇÃO </w:t>
      </w:r>
    </w:p>
    <w:p w14:paraId="2083DECD" w14:textId="12FE87B2" w:rsidR="00473C9B" w:rsidRPr="00EB0F9B" w:rsidRDefault="009D6D02" w:rsidP="00FE0EC9">
      <w:pPr>
        <w:pStyle w:val="PargrafodaLista"/>
        <w:numPr>
          <w:ilvl w:val="1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Não haverá exigência de garantia contratual da execução.</w:t>
      </w:r>
    </w:p>
    <w:p w14:paraId="78EDC5C5" w14:textId="07E0C612" w:rsidR="00FA50E2" w:rsidRPr="00EB0F9B" w:rsidRDefault="00E3350E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>CLÁUSULA DÉCIMA PRIMEIRA - DAS SANÇÕES ADMINISTRATIVAS</w:t>
      </w:r>
    </w:p>
    <w:p w14:paraId="300A40BA" w14:textId="6723F9CE" w:rsidR="009F4B0A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Comete infração administrativa, nos termos da lei, o interessado que, com dolo ou culpa:</w:t>
      </w:r>
    </w:p>
    <w:p w14:paraId="0E0CA213" w14:textId="13FF709F" w:rsidR="009F4B0A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deixar de entregar a documentação exigida para o certame ou não entregar qualquer documento que tenha sido solicitado pela comissão de contratação;</w:t>
      </w:r>
    </w:p>
    <w:p w14:paraId="39974FC2" w14:textId="77777777" w:rsidR="009F4B0A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Salvo em decorrência de fato superveniente devidamente justificado, deixar de apresentar amostra ou apresentá-la em desacordo com as especificações do edital.</w:t>
      </w:r>
    </w:p>
    <w:p w14:paraId="241B0E0B" w14:textId="52C5DB75" w:rsidR="009F4B0A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não celebrar o </w:t>
      </w:r>
      <w:r w:rsidR="009F77E2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 xml:space="preserve"> ou não entregar a documentação exigida para a contratação, quando convocado dentro do prazo de validade do credenciamento; </w:t>
      </w:r>
    </w:p>
    <w:p w14:paraId="1E550F8C" w14:textId="6F133EF2" w:rsidR="009F4B0A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recusar-se, sem justificativa, a assinar o </w:t>
      </w:r>
      <w:r w:rsidR="009F77E2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>, ou a aceitar ou retirar o instrumento equivalente no prazo estabelecido pela Administração;</w:t>
      </w:r>
    </w:p>
    <w:p w14:paraId="55195F27" w14:textId="77777777" w:rsidR="009F4B0A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lastRenderedPageBreak/>
        <w:t>apresentar declaração ou documentação falsa exigida para o certame ou prestar declaração falsa durante o credenciamento;</w:t>
      </w:r>
    </w:p>
    <w:p w14:paraId="2ACA6555" w14:textId="33516841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fraudar o credenciamento;</w:t>
      </w:r>
    </w:p>
    <w:p w14:paraId="24E8020F" w14:textId="55CFBC85" w:rsidR="009F4B0A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comportar-se de modo inidôneo ou cometer fraude de qualquer natureza, em especial quando:</w:t>
      </w:r>
    </w:p>
    <w:p w14:paraId="0E59B36E" w14:textId="77777777" w:rsidR="009F4B0A" w:rsidRPr="00EB0F9B" w:rsidRDefault="009D6D02" w:rsidP="00FE0EC9">
      <w:pPr>
        <w:pStyle w:val="PargrafodaLista"/>
        <w:widowControl/>
        <w:numPr>
          <w:ilvl w:val="3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agir em conluio ou em desconformidade com a lei; </w:t>
      </w:r>
    </w:p>
    <w:p w14:paraId="6CBF8777" w14:textId="77777777" w:rsidR="009F4B0A" w:rsidRPr="00EB0F9B" w:rsidRDefault="009D6D02" w:rsidP="00FE0EC9">
      <w:pPr>
        <w:pStyle w:val="PargrafodaLista"/>
        <w:widowControl/>
        <w:numPr>
          <w:ilvl w:val="3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induzir deliberadamente a erro no julgamento; </w:t>
      </w:r>
    </w:p>
    <w:p w14:paraId="1EE0BA66" w14:textId="445ADC3A" w:rsidR="009D6D02" w:rsidRPr="00EB0F9B" w:rsidRDefault="009D6D02" w:rsidP="00FE0EC9">
      <w:pPr>
        <w:pStyle w:val="PargrafodaLista"/>
        <w:widowControl/>
        <w:numPr>
          <w:ilvl w:val="3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apresentar amostra falsificada ou deteriorada; </w:t>
      </w:r>
    </w:p>
    <w:p w14:paraId="2E5B9D25" w14:textId="7011466E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praticar atos ilícitos com vistas a frustrar os objetivos do credenciamento;</w:t>
      </w:r>
    </w:p>
    <w:p w14:paraId="0BA84FDD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praticar ato lesivo previsto no art. 5º da Lei n.º 12.846, de 2013.</w:t>
      </w:r>
    </w:p>
    <w:p w14:paraId="530C8655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Com fulcro na Lei nº 14.133, de 2021, a Administração poderá, garantida a prévia defesa, aplicar aos credenciados as seguintes sanções, sem prejuízo das responsabilidades civil e criminal: </w:t>
      </w:r>
    </w:p>
    <w:p w14:paraId="228A5BCC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advertência; </w:t>
      </w:r>
    </w:p>
    <w:p w14:paraId="30F070AF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multa;</w:t>
      </w:r>
    </w:p>
    <w:p w14:paraId="131FBFAB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impedimento de licitar e contratar e</w:t>
      </w:r>
    </w:p>
    <w:p w14:paraId="4408D1A5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declaração de inidoneidade para licitar ou contratar, enquanto perdurarem os motivos determinantes da punição ou até que seja promovida sua reabilitação perante a própria autoridade que aplicou a penalidade.</w:t>
      </w:r>
    </w:p>
    <w:p w14:paraId="215F8E92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Na aplicação das sanções serão considerados:</w:t>
      </w:r>
    </w:p>
    <w:p w14:paraId="69ED3288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 natureza e a gravidade da infração cometida.</w:t>
      </w:r>
    </w:p>
    <w:p w14:paraId="4BB86DC9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as peculiaridades do caso concreto</w:t>
      </w:r>
    </w:p>
    <w:p w14:paraId="7D58A4D0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as circunstâncias agravantes ou atenuantes</w:t>
      </w:r>
    </w:p>
    <w:p w14:paraId="4CB7B5E0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os danos que dela provierem para a Administração Pública</w:t>
      </w:r>
    </w:p>
    <w:p w14:paraId="3EC92505" w14:textId="77777777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 implantação ou o aperfeiçoamento de programa de integridade, conforme normas e orientações dos órgãos de controle.</w:t>
      </w:r>
    </w:p>
    <w:p w14:paraId="459E1811" w14:textId="7475C62B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 multa será recolhida em percentual de 0,5% a 30% incidente sobre o valor do </w:t>
      </w:r>
      <w:r w:rsidR="009F77E2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 xml:space="preserve">, recolhida no prazo máximo de 15 (quinze) dias úteis, a contar da comunicação oficial. </w:t>
      </w:r>
    </w:p>
    <w:p w14:paraId="5D0E298D" w14:textId="70CB9D6E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Para as infrações previstas nos itens 6.1.1, 6.1.2, 6.1.3 e 6.1.4, a multa será de 0,5% a 15% do valor do </w:t>
      </w:r>
      <w:r w:rsidR="009F77E2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>.</w:t>
      </w:r>
    </w:p>
    <w:p w14:paraId="035CFD36" w14:textId="58CDA70A" w:rsidR="009D6D02" w:rsidRPr="00EB0F9B" w:rsidRDefault="009D6D02" w:rsidP="00FE0EC9">
      <w:pPr>
        <w:pStyle w:val="PargrafodaLista"/>
        <w:widowControl/>
        <w:numPr>
          <w:ilvl w:val="2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Para as infrações previstas nos itens 6.1.5, 6.1.6, 6.1.7, 6.1.8 e 6.1.9, a multa será de 15% a 30% do valor do </w:t>
      </w:r>
      <w:r w:rsidR="009F77E2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>.</w:t>
      </w:r>
    </w:p>
    <w:p w14:paraId="216AC52E" w14:textId="0447056B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As sanções de advertência, impedimento de licitar e contratar e declaração de inidoneidade para licitar ou contratar poderão ser aplicadas, cumulativamente ou não, à penalidade de multa.</w:t>
      </w:r>
    </w:p>
    <w:p w14:paraId="181B30E8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Na aplicação da sanção de multa será facultada a defesa do interessado no prazo de 15 (quinze) dias úteis, contado da data de sua intimação.</w:t>
      </w:r>
    </w:p>
    <w:p w14:paraId="662FFAC9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lastRenderedPageBreak/>
        <w:t>A sanção de impedimento de licitar e contratar será aplicada ao responsável em decorrência das infrações administrativas relacionadas nos itens 6.1.1, 6.1.2, 6.1.3 e 6.1.4, quando não se justificar a imposição de penalidade mais grave, e impedirá o responsável de licitar e contratar no âmbito da Administração Pública direta e indireta do ente federativo a qual pertencer o órgão ou entidade, pelo prazo máximo de 3 (três) anos.</w:t>
      </w:r>
    </w:p>
    <w:p w14:paraId="59B4EE4C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Poderá ser aplicada ao responsável a sanção de declaração de inidoneidade para licitar ou contratar, em decorrência da prática das infrações dispostas nos itens 6.1.5, 6.1.6, 6.1.7, 6.1.8 e 6.1.9, bem como pelas infrações administrativas previstas nos itens 6.1.1, 6.1.2, 6.1.3 e 6.1.4 que justifiquem a imposição de penalidade mais grave que a sanção de impedimento de licitar e contratar, cuja duração observará o prazo previsto no art. 156, §5º, da Lei n.º 14.133/2021.</w:t>
      </w:r>
    </w:p>
    <w:p w14:paraId="0D26CE6D" w14:textId="37CA0212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 recusa injustificada do credenciado em assinar o </w:t>
      </w:r>
      <w:r w:rsidR="009F77E2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 xml:space="preserve">, ou em aceitar ou retirar o instrumento equivalente no prazo estabelecido pela Administração, descrita nos itens 6.1.3 e 6.1.4, caracterizará o descumprimento total da obrigação assumida e o sujeitará às penalidades e à imediata perda da garantia em favor do órgão ou entidade credenciante, nos termos do art. 45, §4º da IN SEGES/ME n.º 73, de 2022. </w:t>
      </w:r>
    </w:p>
    <w:p w14:paraId="24C9E5E5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 apuração de responsabilidade relacionadas às sanções de impedimento de licitar e contratar e de declaração de inidoneidade para licitar ou contratar demandará a instauração de processo de responsabilização a ser conduzido por comissão composta por 2 (dois) ou mais servidores estáveis, que avaliará fatos e circunstâncias conhecidos e intimará o interessado para, no prazo de 15 (quinze) dias úteis, contado da data de sua intimação, apresentar defesa escrita e especificar as provas que pretenda produzir. </w:t>
      </w:r>
    </w:p>
    <w:p w14:paraId="708541CE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Caberá recurso no prazo de 15 (quinze) dias úteis da aplicação das sanções de advertência, multa e impedimento de licitar e contratar, contado da data da intimação, o qual será dirigido à autoridade que tiver proferido a decisão recorrida, que, se não a reconsiderar no prazo de 5 (cinco) dias úteis, encaminhará o recurso com sua motivação à autoridade superior, que deverá proferir sua decisão no prazo máximo de 20 (vinte) dias úteis, contado do recebimento dos autos.</w:t>
      </w:r>
    </w:p>
    <w:p w14:paraId="433A5DD8" w14:textId="77777777" w:rsidR="009D6D02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Caberá a apresentação de pedido de reconsideração da aplicação da sanção de declaração de inidoneidade para licitar ou contratar no prazo de 15 (quinze) dias úteis, contado da data da intimação, e decidido no prazo máximo de 20 (vinte) dias úteis, contado do seu recebimento.</w:t>
      </w:r>
    </w:p>
    <w:p w14:paraId="2CB07D64" w14:textId="77777777" w:rsidR="009F4B0A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O recurso e o pedido de reconsideração terão efeito suspensivo do ato ou da decisão recorrida até que sobrevenha decisão final da autoridade competente.</w:t>
      </w:r>
    </w:p>
    <w:p w14:paraId="0DDDC8D0" w14:textId="44AF7D2E" w:rsidR="009F4B0A" w:rsidRPr="00EB0F9B" w:rsidRDefault="009D6D02" w:rsidP="00FE0EC9">
      <w:pPr>
        <w:pStyle w:val="PargrafodaLista"/>
        <w:widowControl/>
        <w:numPr>
          <w:ilvl w:val="1"/>
          <w:numId w:val="10"/>
        </w:numPr>
        <w:autoSpaceDE/>
        <w:autoSpaceDN/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A aplicação das sanções previstas neste </w:t>
      </w:r>
      <w:r w:rsidR="009F4B0A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 xml:space="preserve"> não exclui, em hipótese alguma, a obrigação de reparação integral dos danos causados</w:t>
      </w:r>
      <w:r w:rsidR="009F4B0A" w:rsidRPr="00EB0F9B">
        <w:rPr>
          <w:rFonts w:ascii="Times New Roman" w:hAnsi="Times New Roman" w:cs="Times New Roman"/>
          <w:sz w:val="23"/>
          <w:szCs w:val="23"/>
        </w:rPr>
        <w:t>.</w:t>
      </w:r>
    </w:p>
    <w:p w14:paraId="2E550540" w14:textId="77777777" w:rsidR="009F77E2" w:rsidRPr="00EB0F9B" w:rsidRDefault="009F77E2" w:rsidP="00FE0EC9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>CLÁUSULA DÉCIMA SEGUNDA – DA EXTINÇÃO CONTRATUAL</w:t>
      </w:r>
    </w:p>
    <w:p w14:paraId="2B1AD77F" w14:textId="77777777" w:rsidR="0007020B" w:rsidRPr="00EB0F9B" w:rsidRDefault="0007020B" w:rsidP="00FE0EC9">
      <w:pPr>
        <w:pStyle w:val="PargrafodaLista"/>
        <w:numPr>
          <w:ilvl w:val="1"/>
          <w:numId w:val="33"/>
        </w:numPr>
        <w:spacing w:line="360" w:lineRule="auto"/>
        <w:ind w:left="0" w:firstLine="0"/>
        <w:rPr>
          <w:rFonts w:ascii="Times New Roman" w:hAnsi="Times New Roman" w:cs="Times New Roman"/>
          <w:iCs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iCs/>
          <w:sz w:val="23"/>
          <w:szCs w:val="23"/>
          <w:lang w:val="pt-BR"/>
        </w:rPr>
        <w:t xml:space="preserve">O contrato será extinto quando cumpridas as obrigações de ambas as partes, ainda que isso </w:t>
      </w:r>
      <w:r w:rsidRPr="00EB0F9B">
        <w:rPr>
          <w:rFonts w:ascii="Times New Roman" w:hAnsi="Times New Roman" w:cs="Times New Roman"/>
          <w:iCs/>
          <w:sz w:val="23"/>
          <w:szCs w:val="23"/>
          <w:lang w:val="pt-BR"/>
        </w:rPr>
        <w:lastRenderedPageBreak/>
        <w:t>ocorra antes do prazo estipulado para tanto.</w:t>
      </w:r>
    </w:p>
    <w:p w14:paraId="4D3F68E9" w14:textId="77777777" w:rsidR="0007020B" w:rsidRPr="00EB0F9B" w:rsidRDefault="0007020B" w:rsidP="00FE0EC9">
      <w:pPr>
        <w:pStyle w:val="PargrafodaLista"/>
        <w:numPr>
          <w:ilvl w:val="1"/>
          <w:numId w:val="33"/>
        </w:numPr>
        <w:spacing w:line="360" w:lineRule="auto"/>
        <w:ind w:left="0" w:firstLine="0"/>
        <w:rPr>
          <w:rFonts w:ascii="Times New Roman" w:hAnsi="Times New Roman" w:cs="Times New Roman"/>
          <w:iCs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iCs/>
          <w:sz w:val="23"/>
          <w:szCs w:val="23"/>
          <w:lang w:val="pt-BR"/>
        </w:rPr>
        <w:t>Se as obrigações não forem cumpridas no prazo estipulado, a vigência ficará prorrogada até a conclusão do objeto, caso em que deverá a Administração providenciar a readequação do cronograma fixado para o contrato.</w:t>
      </w:r>
    </w:p>
    <w:p w14:paraId="75F590B8" w14:textId="64E556CA" w:rsidR="0007020B" w:rsidRPr="00EB0F9B" w:rsidRDefault="0007020B" w:rsidP="00FE0EC9">
      <w:pPr>
        <w:pStyle w:val="PargrafodaLista"/>
        <w:numPr>
          <w:ilvl w:val="1"/>
          <w:numId w:val="33"/>
        </w:numPr>
        <w:spacing w:line="360" w:lineRule="auto"/>
        <w:ind w:left="0" w:firstLine="0"/>
        <w:rPr>
          <w:rFonts w:ascii="Times New Roman" w:hAnsi="Times New Roman" w:cs="Times New Roman"/>
          <w:iCs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iCs/>
          <w:sz w:val="23"/>
          <w:szCs w:val="23"/>
          <w:lang w:val="pt-BR"/>
        </w:rPr>
        <w:t>Quando a não conclusão do contrato referida no item anterior decorrer de culpa do CONTRATADO:</w:t>
      </w:r>
    </w:p>
    <w:p w14:paraId="1973812D" w14:textId="77777777" w:rsidR="0007020B" w:rsidRPr="00EB0F9B" w:rsidRDefault="0007020B" w:rsidP="00FE0EC9">
      <w:pPr>
        <w:pStyle w:val="PargrafodaLista"/>
        <w:numPr>
          <w:ilvl w:val="2"/>
          <w:numId w:val="33"/>
        </w:numPr>
        <w:spacing w:line="360" w:lineRule="auto"/>
        <w:ind w:left="0" w:firstLine="0"/>
        <w:rPr>
          <w:rFonts w:ascii="Times New Roman" w:hAnsi="Times New Roman" w:cs="Times New Roman"/>
          <w:iCs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iCs/>
          <w:sz w:val="23"/>
          <w:szCs w:val="23"/>
          <w:lang w:val="pt-BR"/>
        </w:rPr>
        <w:t>ficará ele constituído em mora, sendo-lhe aplicáveis as respectivas sanções administrativas; e</w:t>
      </w:r>
    </w:p>
    <w:p w14:paraId="57B6555D" w14:textId="7C1A5673" w:rsidR="0007020B" w:rsidRPr="00EB0F9B" w:rsidRDefault="0007020B" w:rsidP="00FE0EC9">
      <w:pPr>
        <w:pStyle w:val="PargrafodaLista"/>
        <w:numPr>
          <w:ilvl w:val="2"/>
          <w:numId w:val="33"/>
        </w:numPr>
        <w:spacing w:line="360" w:lineRule="auto"/>
        <w:ind w:left="0" w:firstLine="0"/>
        <w:rPr>
          <w:rFonts w:ascii="Times New Roman" w:hAnsi="Times New Roman" w:cs="Times New Roman"/>
          <w:iCs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iCs/>
          <w:sz w:val="23"/>
          <w:szCs w:val="23"/>
          <w:lang w:val="pt-BR"/>
        </w:rPr>
        <w:t>poderá a Administração optar pela extinção do contrato e, nesse caso, adotará as medidas admitidas em lei para a continuidade da execução contratual</w:t>
      </w:r>
    </w:p>
    <w:p w14:paraId="55549828" w14:textId="6DA03DFC" w:rsidR="001A0FE4" w:rsidRPr="00EB0F9B" w:rsidRDefault="00E3350E" w:rsidP="00FE0EC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b/>
          <w:sz w:val="23"/>
          <w:szCs w:val="23"/>
          <w:lang w:val="pt-BR"/>
        </w:rPr>
        <w:t xml:space="preserve">CLÁUSULA DÉCIMA TERCEIRA – DOTAÇÃO ORÇAMENTÁRIA </w:t>
      </w:r>
    </w:p>
    <w:p w14:paraId="10664BED" w14:textId="6E085E66" w:rsidR="00C76E00" w:rsidRPr="00EB0F9B" w:rsidRDefault="00C76E00" w:rsidP="00FE0EC9">
      <w:pPr>
        <w:pStyle w:val="PargrafodaLista"/>
        <w:numPr>
          <w:ilvl w:val="1"/>
          <w:numId w:val="3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B0F9B">
        <w:rPr>
          <w:rFonts w:ascii="Times New Roman" w:hAnsi="Times New Roman" w:cs="Times New Roman"/>
          <w:sz w:val="23"/>
          <w:szCs w:val="23"/>
          <w:lang w:val="pt-BR"/>
        </w:rPr>
        <w:t xml:space="preserve">Não há previsão de despesas neste Contrato, a serem realizadas pela Contratante </w:t>
      </w:r>
    </w:p>
    <w:p w14:paraId="3D9A55B4" w14:textId="778DA7AB" w:rsidR="001A0FE4" w:rsidRPr="00EB0F9B" w:rsidRDefault="00E3350E" w:rsidP="00FE0E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DÉCIMA QUARTA – DOS CASOS OMISSOS </w:t>
      </w:r>
    </w:p>
    <w:p w14:paraId="64D6B13B" w14:textId="566B10B4" w:rsidR="001A0FE4" w:rsidRPr="00EB0F9B" w:rsidRDefault="001A0FE4" w:rsidP="00FE0EC9">
      <w:pPr>
        <w:pStyle w:val="PargrafodaLista"/>
        <w:widowControl/>
        <w:numPr>
          <w:ilvl w:val="1"/>
          <w:numId w:val="13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Os casos omissos serão decididos pelo </w:t>
      </w:r>
      <w:r w:rsidR="002554EF" w:rsidRPr="00EB0F9B">
        <w:rPr>
          <w:rFonts w:ascii="Times New Roman" w:hAnsi="Times New Roman" w:cs="Times New Roman"/>
          <w:sz w:val="23"/>
          <w:szCs w:val="23"/>
        </w:rPr>
        <w:t>Municipio</w:t>
      </w:r>
      <w:r w:rsidRPr="00EB0F9B">
        <w:rPr>
          <w:rFonts w:ascii="Times New Roman" w:hAnsi="Times New Roman" w:cs="Times New Roman"/>
          <w:sz w:val="23"/>
          <w:szCs w:val="23"/>
        </w:rPr>
        <w:t xml:space="preserve">, segundo as disposições contidas na Lei nº 14.133, de 2021 e demais normas federais aplicáveis e, subsidiariamente, segundo as disposições contidas na Lei nº 8.078, de 1990 – Código de Defesa do Consumidor – e normas e princípios gerais dos </w:t>
      </w:r>
      <w:r w:rsidR="00AD6ED0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>s.</w:t>
      </w:r>
    </w:p>
    <w:p w14:paraId="1B5A1248" w14:textId="35667755" w:rsidR="001A0FE4" w:rsidRPr="00EB0F9B" w:rsidRDefault="00E3350E" w:rsidP="00FE0E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>CLÁUSULA DÉCIMA QUINTA – ALTERAÇÕES</w:t>
      </w:r>
    </w:p>
    <w:p w14:paraId="7170527E" w14:textId="77777777" w:rsidR="006449D6" w:rsidRPr="00EB0F9B" w:rsidRDefault="001A0FE4" w:rsidP="00FE0EC9">
      <w:pPr>
        <w:pStyle w:val="PargrafodaLista"/>
        <w:widowControl/>
        <w:numPr>
          <w:ilvl w:val="2"/>
          <w:numId w:val="14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Eventuais alterações contratuais reger-se-ão pela disciplina dos arts. 124 e seguintes da Lei nº 14.133, de 2021.</w:t>
      </w:r>
    </w:p>
    <w:p w14:paraId="62A38BFA" w14:textId="490A8BF9" w:rsidR="001A0FE4" w:rsidRPr="00EB0F9B" w:rsidRDefault="001A0FE4" w:rsidP="00FE0E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DÉCIMA </w:t>
      </w:r>
      <w:r w:rsidR="006449D6" w:rsidRPr="00EB0F9B">
        <w:rPr>
          <w:rFonts w:ascii="Times New Roman" w:hAnsi="Times New Roman" w:cs="Times New Roman"/>
          <w:b/>
          <w:sz w:val="23"/>
          <w:szCs w:val="23"/>
        </w:rPr>
        <w:t>SEXTA</w:t>
      </w:r>
      <w:r w:rsidRPr="00EB0F9B">
        <w:rPr>
          <w:rFonts w:ascii="Times New Roman" w:hAnsi="Times New Roman" w:cs="Times New Roman"/>
          <w:b/>
          <w:sz w:val="23"/>
          <w:szCs w:val="23"/>
        </w:rPr>
        <w:t xml:space="preserve"> – PUBLICAÇÃO</w:t>
      </w:r>
    </w:p>
    <w:p w14:paraId="373DE610" w14:textId="4A465292" w:rsidR="001A0FE4" w:rsidRPr="00EB0F9B" w:rsidRDefault="001A0FE4" w:rsidP="00FE0EC9">
      <w:pPr>
        <w:pStyle w:val="PargrafodaLista"/>
        <w:widowControl/>
        <w:numPr>
          <w:ilvl w:val="1"/>
          <w:numId w:val="16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Incumbirá</w:t>
      </w:r>
      <w:r w:rsidR="006449D6" w:rsidRPr="00EB0F9B">
        <w:rPr>
          <w:rFonts w:ascii="Times New Roman" w:hAnsi="Times New Roman" w:cs="Times New Roman"/>
          <w:sz w:val="23"/>
          <w:szCs w:val="23"/>
        </w:rPr>
        <w:t xml:space="preserve"> ao Municípo</w:t>
      </w:r>
      <w:r w:rsidRPr="00EB0F9B">
        <w:rPr>
          <w:rFonts w:ascii="Times New Roman" w:hAnsi="Times New Roman" w:cs="Times New Roman"/>
          <w:sz w:val="23"/>
          <w:szCs w:val="23"/>
        </w:rPr>
        <w:t xml:space="preserve"> providenciar a publicação deste instrumento nos termos e condições previstas na Lei nº 14.133/21.</w:t>
      </w:r>
    </w:p>
    <w:p w14:paraId="5CAFD166" w14:textId="5A8AB445" w:rsidR="001A0FE4" w:rsidRPr="00EB0F9B" w:rsidRDefault="00AD6ED0" w:rsidP="00FE0E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0F9B">
        <w:rPr>
          <w:rFonts w:ascii="Times New Roman" w:hAnsi="Times New Roman" w:cs="Times New Roman"/>
          <w:b/>
          <w:sz w:val="23"/>
          <w:szCs w:val="23"/>
        </w:rPr>
        <w:t xml:space="preserve">CLÁUSULA DÉCIMA SETIMA – FORO </w:t>
      </w:r>
    </w:p>
    <w:p w14:paraId="60010ADF" w14:textId="3F524DA5" w:rsidR="001A0FE4" w:rsidRDefault="001A0FE4" w:rsidP="00FE0EC9">
      <w:pPr>
        <w:pStyle w:val="PargrafodaLista"/>
        <w:widowControl/>
        <w:numPr>
          <w:ilvl w:val="1"/>
          <w:numId w:val="15"/>
        </w:numPr>
        <w:autoSpaceDE/>
        <w:autoSpaceDN/>
        <w:spacing w:line="36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É eleito o Foro da Comarca de Novo Cruzeiro para dirimir os litígios que decorrerem da execução deste </w:t>
      </w:r>
      <w:r w:rsidR="00AD6ED0" w:rsidRPr="00EB0F9B">
        <w:rPr>
          <w:rFonts w:ascii="Times New Roman" w:hAnsi="Times New Roman" w:cs="Times New Roman"/>
          <w:sz w:val="23"/>
          <w:szCs w:val="23"/>
        </w:rPr>
        <w:t>Termo de Credenciamento</w:t>
      </w:r>
      <w:r w:rsidRPr="00EB0F9B">
        <w:rPr>
          <w:rFonts w:ascii="Times New Roman" w:hAnsi="Times New Roman" w:cs="Times New Roman"/>
          <w:sz w:val="23"/>
          <w:szCs w:val="23"/>
        </w:rPr>
        <w:t xml:space="preserve"> que não possam ser compostos pela conciliação, conforme art. 92, §1º da Lei nº 14.133/21.</w:t>
      </w:r>
    </w:p>
    <w:p w14:paraId="537993F9" w14:textId="77777777" w:rsidR="00EB0F9B" w:rsidRPr="00EB0F9B" w:rsidRDefault="00EB0F9B" w:rsidP="00EB0F9B">
      <w:pPr>
        <w:pStyle w:val="PargrafodaLista"/>
        <w:widowControl/>
        <w:autoSpaceDE/>
        <w:autoSpaceDN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4C99471D" w14:textId="77777777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 xml:space="preserve">Catuji-MG, </w:t>
      </w:r>
    </w:p>
    <w:p w14:paraId="21F40AF6" w14:textId="77777777" w:rsidR="00EB0F9B" w:rsidRPr="00EB0F9B" w:rsidRDefault="00EB0F9B" w:rsidP="00EB0F9B"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  <w:sectPr w:rsidR="00EB0F9B" w:rsidRPr="00EB0F9B" w:rsidSect="00EB0F9B">
          <w:headerReference w:type="default" r:id="rId8"/>
          <w:footerReference w:type="default" r:id="rId9"/>
          <w:pgSz w:w="11910" w:h="16840" w:code="9"/>
          <w:pgMar w:top="1245" w:right="1134" w:bottom="1134" w:left="1418" w:header="284" w:footer="198" w:gutter="0"/>
          <w:cols w:space="708"/>
          <w:docGrid w:linePitch="360"/>
        </w:sectPr>
      </w:pPr>
    </w:p>
    <w:p w14:paraId="44731E95" w14:textId="17047B1F" w:rsidR="00EB0F9B" w:rsidRPr="00EB0F9B" w:rsidRDefault="00EB0F9B" w:rsidP="00EB0F9B"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Contratante</w:t>
      </w:r>
    </w:p>
    <w:p w14:paraId="69019FB3" w14:textId="77777777" w:rsidR="00EB0F9B" w:rsidRPr="00EB0F9B" w:rsidRDefault="00EB0F9B" w:rsidP="00EB0F9B">
      <w:pPr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Contratada</w:t>
      </w:r>
    </w:p>
    <w:p w14:paraId="24FBF292" w14:textId="77777777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  <w:sectPr w:rsidR="00EB0F9B" w:rsidRPr="00EB0F9B" w:rsidSect="00EB0F9B">
          <w:type w:val="continuous"/>
          <w:pgSz w:w="11910" w:h="16840" w:code="9"/>
          <w:pgMar w:top="1245" w:right="1134" w:bottom="1134" w:left="1418" w:header="284" w:footer="198" w:gutter="0"/>
          <w:cols w:num="2" w:space="708"/>
          <w:docGrid w:linePitch="360"/>
        </w:sectPr>
      </w:pPr>
    </w:p>
    <w:p w14:paraId="27A70F1F" w14:textId="2A5549C6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Testemunhas:</w:t>
      </w:r>
    </w:p>
    <w:p w14:paraId="3A9B7E12" w14:textId="77777777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  <w:sectPr w:rsidR="00EB0F9B" w:rsidRPr="00EB0F9B" w:rsidSect="00EB0F9B">
          <w:type w:val="continuous"/>
          <w:pgSz w:w="11910" w:h="16840" w:code="9"/>
          <w:pgMar w:top="1245" w:right="1134" w:bottom="1134" w:left="1418" w:header="284" w:footer="198" w:gutter="0"/>
          <w:cols w:space="708"/>
          <w:docGrid w:linePitch="360"/>
        </w:sectPr>
      </w:pPr>
    </w:p>
    <w:p w14:paraId="3224C563" w14:textId="0C9E93DF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Nome:</w:t>
      </w:r>
    </w:p>
    <w:p w14:paraId="47B52EE5" w14:textId="77777777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CPF:</w:t>
      </w:r>
    </w:p>
    <w:p w14:paraId="22D97D09" w14:textId="77777777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D4EF6C" w14:textId="7E5876FB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Nome:</w:t>
      </w:r>
    </w:p>
    <w:p w14:paraId="5FF1A8BF" w14:textId="77777777" w:rsidR="00EB0F9B" w:rsidRPr="00EB0F9B" w:rsidRDefault="00EB0F9B" w:rsidP="00EB0F9B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0F9B">
        <w:rPr>
          <w:rFonts w:ascii="Times New Roman" w:hAnsi="Times New Roman" w:cs="Times New Roman"/>
          <w:sz w:val="23"/>
          <w:szCs w:val="23"/>
        </w:rPr>
        <w:t>CPF:</w:t>
      </w:r>
    </w:p>
    <w:p w14:paraId="0F85B1D9" w14:textId="77777777" w:rsidR="00EB0F9B" w:rsidRPr="00EB0F9B" w:rsidRDefault="00EB0F9B" w:rsidP="00FE0EC9">
      <w:pPr>
        <w:pStyle w:val="PargrafodaLista"/>
        <w:widowControl/>
        <w:autoSpaceDE/>
        <w:autoSpaceDN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  <w:sectPr w:rsidR="00EB0F9B" w:rsidRPr="00EB0F9B" w:rsidSect="00EB0F9B">
          <w:type w:val="continuous"/>
          <w:pgSz w:w="11910" w:h="16840" w:code="9"/>
          <w:pgMar w:top="1245" w:right="1134" w:bottom="1134" w:left="1418" w:header="284" w:footer="198" w:gutter="0"/>
          <w:cols w:num="2" w:space="708"/>
          <w:docGrid w:linePitch="360"/>
        </w:sectPr>
      </w:pPr>
    </w:p>
    <w:p w14:paraId="0838EA0B" w14:textId="7A404AE2" w:rsidR="003D0E4D" w:rsidRPr="00EB0F9B" w:rsidRDefault="003D0E4D" w:rsidP="00FE0EC9">
      <w:pPr>
        <w:pStyle w:val="PargrafodaLista"/>
        <w:widowControl/>
        <w:autoSpaceDE/>
        <w:autoSpaceDN/>
        <w:spacing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sectPr w:rsidR="003D0E4D" w:rsidRPr="00EB0F9B" w:rsidSect="00EB0F9B">
      <w:type w:val="continuous"/>
      <w:pgSz w:w="11910" w:h="16840" w:code="9"/>
      <w:pgMar w:top="1245" w:right="1134" w:bottom="1134" w:left="1418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001F" w14:textId="77777777" w:rsidR="004A7CAF" w:rsidRDefault="004A7CAF" w:rsidP="002708F3">
      <w:r>
        <w:separator/>
      </w:r>
    </w:p>
  </w:endnote>
  <w:endnote w:type="continuationSeparator" w:id="0">
    <w:p w14:paraId="48A71110" w14:textId="77777777" w:rsidR="004A7CAF" w:rsidRDefault="004A7CAF" w:rsidP="0027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E0EF7" w14:textId="6CF4A1B3" w:rsidR="00EB0F9B" w:rsidRDefault="00EB0F9B">
    <w:pPr>
      <w:pStyle w:val="Rodap"/>
    </w:pPr>
    <w:r>
      <w:rPr>
        <w:noProof/>
      </w:rPr>
      <w:drawing>
        <wp:inline distT="0" distB="0" distL="0" distR="0" wp14:anchorId="7FEC3720" wp14:editId="1EA811EA">
          <wp:extent cx="5942330" cy="680603"/>
          <wp:effectExtent l="0" t="0" r="1270" b="571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680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F4931" w14:textId="77777777" w:rsidR="004A7CAF" w:rsidRDefault="004A7CAF" w:rsidP="002708F3">
      <w:r>
        <w:separator/>
      </w:r>
    </w:p>
  </w:footnote>
  <w:footnote w:type="continuationSeparator" w:id="0">
    <w:p w14:paraId="00E1C893" w14:textId="77777777" w:rsidR="004A7CAF" w:rsidRDefault="004A7CAF" w:rsidP="0027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23CD" w14:textId="6F255B5D" w:rsidR="00EB0F9B" w:rsidRDefault="00EB0F9B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72EFBFE" wp14:editId="308606D5">
          <wp:extent cx="5760085" cy="723073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3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FB5A4F"/>
    <w:multiLevelType w:val="hybridMultilevel"/>
    <w:tmpl w:val="4F3553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A17B3B"/>
    <w:multiLevelType w:val="hybridMultilevel"/>
    <w:tmpl w:val="4C8B62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4B9660"/>
    <w:multiLevelType w:val="hybridMultilevel"/>
    <w:tmpl w:val="427F95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3641B7"/>
    <w:multiLevelType w:val="hybridMultilevel"/>
    <w:tmpl w:val="6E9F9D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F9495D"/>
    <w:multiLevelType w:val="multilevel"/>
    <w:tmpl w:val="53126C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DA0964"/>
    <w:multiLevelType w:val="multilevel"/>
    <w:tmpl w:val="14625AC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A9145B"/>
    <w:multiLevelType w:val="hybridMultilevel"/>
    <w:tmpl w:val="1CF431FA"/>
    <w:lvl w:ilvl="0" w:tplc="9CD04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1A246D"/>
    <w:multiLevelType w:val="multilevel"/>
    <w:tmpl w:val="53F66A4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E32C69"/>
    <w:multiLevelType w:val="multilevel"/>
    <w:tmpl w:val="ED42A85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D06289"/>
    <w:multiLevelType w:val="hybridMultilevel"/>
    <w:tmpl w:val="359160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0D5849"/>
    <w:multiLevelType w:val="multilevel"/>
    <w:tmpl w:val="3DE86F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7459DC"/>
    <w:multiLevelType w:val="multilevel"/>
    <w:tmpl w:val="0204C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51442D"/>
    <w:multiLevelType w:val="hybridMultilevel"/>
    <w:tmpl w:val="74DA2A4A"/>
    <w:lvl w:ilvl="0" w:tplc="9CD04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D61AD"/>
    <w:multiLevelType w:val="multilevel"/>
    <w:tmpl w:val="DD2674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FF6572"/>
    <w:multiLevelType w:val="multilevel"/>
    <w:tmpl w:val="14625AC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C53FC9"/>
    <w:multiLevelType w:val="multilevel"/>
    <w:tmpl w:val="740ECF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8D45D8C"/>
    <w:multiLevelType w:val="multilevel"/>
    <w:tmpl w:val="441AF9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7E1F53"/>
    <w:multiLevelType w:val="multilevel"/>
    <w:tmpl w:val="8BC45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0F8"/>
    <w:multiLevelType w:val="multilevel"/>
    <w:tmpl w:val="14625AC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36A051"/>
    <w:multiLevelType w:val="hybridMultilevel"/>
    <w:tmpl w:val="FE4834B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2602E9D"/>
    <w:multiLevelType w:val="multilevel"/>
    <w:tmpl w:val="F1A4C6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A76021"/>
    <w:multiLevelType w:val="multilevel"/>
    <w:tmpl w:val="52EC92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E530FD3"/>
    <w:multiLevelType w:val="multilevel"/>
    <w:tmpl w:val="A6DCE0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2195A83"/>
    <w:multiLevelType w:val="multilevel"/>
    <w:tmpl w:val="1C261EE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8E3B1DB"/>
    <w:multiLevelType w:val="hybridMultilevel"/>
    <w:tmpl w:val="4BC25E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2D4736"/>
    <w:multiLevelType w:val="multilevel"/>
    <w:tmpl w:val="0204C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0086911"/>
    <w:multiLevelType w:val="multilevel"/>
    <w:tmpl w:val="0204CB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035AEE"/>
    <w:multiLevelType w:val="multilevel"/>
    <w:tmpl w:val="441AF9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A324CC3"/>
    <w:multiLevelType w:val="multilevel"/>
    <w:tmpl w:val="9F9EDD0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B3131A9"/>
    <w:multiLevelType w:val="hybridMultilevel"/>
    <w:tmpl w:val="B288A5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1E3114"/>
    <w:multiLevelType w:val="hybridMultilevel"/>
    <w:tmpl w:val="FCBA2102"/>
    <w:lvl w:ilvl="0" w:tplc="7DA6E2B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691F40"/>
    <w:multiLevelType w:val="multilevel"/>
    <w:tmpl w:val="1C261E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A822C0C"/>
    <w:multiLevelType w:val="multilevel"/>
    <w:tmpl w:val="0204C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7DE34215"/>
    <w:multiLevelType w:val="multilevel"/>
    <w:tmpl w:val="4FA00DD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25"/>
  </w:num>
  <w:num w:numId="5">
    <w:abstractNumId w:val="11"/>
  </w:num>
  <w:num w:numId="6">
    <w:abstractNumId w:val="26"/>
  </w:num>
  <w:num w:numId="7">
    <w:abstractNumId w:val="22"/>
  </w:num>
  <w:num w:numId="8">
    <w:abstractNumId w:val="17"/>
  </w:num>
  <w:num w:numId="9">
    <w:abstractNumId w:val="21"/>
  </w:num>
  <w:num w:numId="10">
    <w:abstractNumId w:val="28"/>
  </w:num>
  <w:num w:numId="11">
    <w:abstractNumId w:val="15"/>
  </w:num>
  <w:num w:numId="12">
    <w:abstractNumId w:val="13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20"/>
  </w:num>
  <w:num w:numId="18">
    <w:abstractNumId w:val="0"/>
  </w:num>
  <w:num w:numId="19">
    <w:abstractNumId w:val="9"/>
  </w:num>
  <w:num w:numId="20">
    <w:abstractNumId w:val="19"/>
  </w:num>
  <w:num w:numId="21">
    <w:abstractNumId w:val="24"/>
  </w:num>
  <w:num w:numId="22">
    <w:abstractNumId w:val="2"/>
  </w:num>
  <w:num w:numId="23">
    <w:abstractNumId w:val="29"/>
  </w:num>
  <w:num w:numId="24">
    <w:abstractNumId w:val="3"/>
  </w:num>
  <w:num w:numId="25">
    <w:abstractNumId w:val="1"/>
  </w:num>
  <w:num w:numId="26">
    <w:abstractNumId w:val="4"/>
  </w:num>
  <w:num w:numId="27">
    <w:abstractNumId w:val="27"/>
  </w:num>
  <w:num w:numId="28">
    <w:abstractNumId w:val="16"/>
  </w:num>
  <w:num w:numId="29">
    <w:abstractNumId w:val="8"/>
  </w:num>
  <w:num w:numId="30">
    <w:abstractNumId w:val="30"/>
  </w:num>
  <w:num w:numId="31">
    <w:abstractNumId w:val="6"/>
  </w:num>
  <w:num w:numId="32">
    <w:abstractNumId w:val="12"/>
  </w:num>
  <w:num w:numId="33">
    <w:abstractNumId w:val="31"/>
  </w:num>
  <w:num w:numId="3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D1"/>
    <w:rsid w:val="000130AD"/>
    <w:rsid w:val="00015A5D"/>
    <w:rsid w:val="000224DE"/>
    <w:rsid w:val="000233BF"/>
    <w:rsid w:val="0007020B"/>
    <w:rsid w:val="00075905"/>
    <w:rsid w:val="000977C8"/>
    <w:rsid w:val="000A6560"/>
    <w:rsid w:val="000D43A5"/>
    <w:rsid w:val="000D6B6B"/>
    <w:rsid w:val="000E43AC"/>
    <w:rsid w:val="000E7020"/>
    <w:rsid w:val="001008AA"/>
    <w:rsid w:val="001077BA"/>
    <w:rsid w:val="00114B88"/>
    <w:rsid w:val="001858E3"/>
    <w:rsid w:val="00191FAF"/>
    <w:rsid w:val="00194A5C"/>
    <w:rsid w:val="001A0FE4"/>
    <w:rsid w:val="001C4404"/>
    <w:rsid w:val="001C4987"/>
    <w:rsid w:val="00231F7F"/>
    <w:rsid w:val="002438EA"/>
    <w:rsid w:val="002554EF"/>
    <w:rsid w:val="002708F3"/>
    <w:rsid w:val="0029588F"/>
    <w:rsid w:val="002B690C"/>
    <w:rsid w:val="002E02F2"/>
    <w:rsid w:val="002F31E1"/>
    <w:rsid w:val="0032105A"/>
    <w:rsid w:val="003335C2"/>
    <w:rsid w:val="00382A70"/>
    <w:rsid w:val="003966D2"/>
    <w:rsid w:val="003D068B"/>
    <w:rsid w:val="003D0E4D"/>
    <w:rsid w:val="003D332E"/>
    <w:rsid w:val="003E3A31"/>
    <w:rsid w:val="00417B7A"/>
    <w:rsid w:val="00432C61"/>
    <w:rsid w:val="00461153"/>
    <w:rsid w:val="00473C9B"/>
    <w:rsid w:val="00492E47"/>
    <w:rsid w:val="004A7CAF"/>
    <w:rsid w:val="004D17D3"/>
    <w:rsid w:val="00522168"/>
    <w:rsid w:val="00532354"/>
    <w:rsid w:val="00537DF3"/>
    <w:rsid w:val="005472D6"/>
    <w:rsid w:val="00553C58"/>
    <w:rsid w:val="005764A6"/>
    <w:rsid w:val="005A5C83"/>
    <w:rsid w:val="005B0BC4"/>
    <w:rsid w:val="005F4943"/>
    <w:rsid w:val="006449D6"/>
    <w:rsid w:val="00644B7B"/>
    <w:rsid w:val="00683AE4"/>
    <w:rsid w:val="00704BFB"/>
    <w:rsid w:val="00711452"/>
    <w:rsid w:val="007348C5"/>
    <w:rsid w:val="00744976"/>
    <w:rsid w:val="007739B6"/>
    <w:rsid w:val="007930BB"/>
    <w:rsid w:val="007A7389"/>
    <w:rsid w:val="0081318A"/>
    <w:rsid w:val="00844BA4"/>
    <w:rsid w:val="008775CB"/>
    <w:rsid w:val="008B1857"/>
    <w:rsid w:val="008B5AD8"/>
    <w:rsid w:val="008D3EDF"/>
    <w:rsid w:val="008D7EF3"/>
    <w:rsid w:val="008E387B"/>
    <w:rsid w:val="008E5D49"/>
    <w:rsid w:val="0091225D"/>
    <w:rsid w:val="00937E67"/>
    <w:rsid w:val="009450F2"/>
    <w:rsid w:val="00983FE4"/>
    <w:rsid w:val="00986A25"/>
    <w:rsid w:val="009B1F95"/>
    <w:rsid w:val="009D6D02"/>
    <w:rsid w:val="009F4B0A"/>
    <w:rsid w:val="009F77E2"/>
    <w:rsid w:val="00A15038"/>
    <w:rsid w:val="00A50209"/>
    <w:rsid w:val="00A80D76"/>
    <w:rsid w:val="00AB4DC6"/>
    <w:rsid w:val="00AD6ED0"/>
    <w:rsid w:val="00AF0541"/>
    <w:rsid w:val="00AF41D1"/>
    <w:rsid w:val="00B20EE2"/>
    <w:rsid w:val="00B62655"/>
    <w:rsid w:val="00B62C89"/>
    <w:rsid w:val="00B6583E"/>
    <w:rsid w:val="00B66034"/>
    <w:rsid w:val="00B67996"/>
    <w:rsid w:val="00B711D9"/>
    <w:rsid w:val="00B80D24"/>
    <w:rsid w:val="00BF656E"/>
    <w:rsid w:val="00C070A6"/>
    <w:rsid w:val="00C105B6"/>
    <w:rsid w:val="00C17223"/>
    <w:rsid w:val="00C35EF6"/>
    <w:rsid w:val="00C76E00"/>
    <w:rsid w:val="00CA424D"/>
    <w:rsid w:val="00CB1699"/>
    <w:rsid w:val="00CB59F6"/>
    <w:rsid w:val="00CD4F6F"/>
    <w:rsid w:val="00CE387D"/>
    <w:rsid w:val="00CE6465"/>
    <w:rsid w:val="00D12C51"/>
    <w:rsid w:val="00D43852"/>
    <w:rsid w:val="00D46D3A"/>
    <w:rsid w:val="00D71737"/>
    <w:rsid w:val="00D76F07"/>
    <w:rsid w:val="00D958EC"/>
    <w:rsid w:val="00DC0866"/>
    <w:rsid w:val="00DD3A67"/>
    <w:rsid w:val="00E24FF3"/>
    <w:rsid w:val="00E31BE0"/>
    <w:rsid w:val="00E3350E"/>
    <w:rsid w:val="00E34CCC"/>
    <w:rsid w:val="00E41098"/>
    <w:rsid w:val="00E573E6"/>
    <w:rsid w:val="00E970DD"/>
    <w:rsid w:val="00EB0F9B"/>
    <w:rsid w:val="00ED3D22"/>
    <w:rsid w:val="00F15649"/>
    <w:rsid w:val="00F22645"/>
    <w:rsid w:val="00F539F3"/>
    <w:rsid w:val="00F64FBD"/>
    <w:rsid w:val="00FA50E2"/>
    <w:rsid w:val="00FD5306"/>
    <w:rsid w:val="00F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CF16"/>
  <w15:chartTrackingRefBased/>
  <w15:docId w15:val="{390265F7-88EC-403F-8EFD-A3ADDB4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1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4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4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4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4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41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41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41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41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4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4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4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41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41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41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41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41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41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4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4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41D1"/>
    <w:rPr>
      <w:i/>
      <w:iCs/>
      <w:color w:val="404040" w:themeColor="text1" w:themeTint="BF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AF41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41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4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41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41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F41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41D1"/>
    <w:pPr>
      <w:spacing w:before="130"/>
      <w:ind w:left="10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F41D1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1D1"/>
    <w:pPr>
      <w:spacing w:before="61"/>
    </w:pPr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AF41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AF41D1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4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1D1"/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8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8EC"/>
    <w:rPr>
      <w:rFonts w:ascii="Segoe UI" w:eastAsia="Arial MT" w:hAnsi="Segoe UI" w:cs="Segoe UI"/>
      <w:kern w:val="0"/>
      <w:sz w:val="18"/>
      <w:szCs w:val="18"/>
      <w:lang w:val="pt-PT"/>
      <w14:ligatures w14:val="none"/>
    </w:r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9D6D02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Default">
    <w:name w:val="Default"/>
    <w:rsid w:val="00F22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7A3B-B3B5-4FD6-8300-C08478FE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3347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Miranda</dc:creator>
  <cp:keywords/>
  <dc:description/>
  <cp:lastModifiedBy>User</cp:lastModifiedBy>
  <cp:revision>66</cp:revision>
  <cp:lastPrinted>2025-03-27T18:00:00Z</cp:lastPrinted>
  <dcterms:created xsi:type="dcterms:W3CDTF">2024-07-01T12:50:00Z</dcterms:created>
  <dcterms:modified xsi:type="dcterms:W3CDTF">2025-03-27T18:06:00Z</dcterms:modified>
</cp:coreProperties>
</file>