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B6424" w14:textId="08563BB2" w:rsidR="00C33E85" w:rsidRPr="00886F99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bookmarkStart w:id="0" w:name="_GoBack"/>
      <w:bookmarkEnd w:id="0"/>
      <w:r w:rsidRPr="00886F99">
        <w:rPr>
          <w:b/>
          <w:sz w:val="22"/>
          <w:szCs w:val="22"/>
          <w:lang w:val="pt"/>
        </w:rPr>
        <w:t>ANEXO</w:t>
      </w:r>
      <w:r w:rsidR="00BC3132" w:rsidRPr="00886F99">
        <w:rPr>
          <w:b/>
          <w:sz w:val="22"/>
          <w:szCs w:val="22"/>
          <w:lang w:val="pt"/>
        </w:rPr>
        <w:t xml:space="preserve"> </w:t>
      </w:r>
      <w:r w:rsidR="0009012C">
        <w:rPr>
          <w:b/>
          <w:sz w:val="22"/>
          <w:szCs w:val="22"/>
          <w:lang w:val="pt"/>
        </w:rPr>
        <w:t>II</w:t>
      </w:r>
      <w:r w:rsidR="00E35126">
        <w:rPr>
          <w:b/>
          <w:sz w:val="22"/>
          <w:szCs w:val="22"/>
          <w:lang w:val="pt"/>
        </w:rPr>
        <w:t>I</w:t>
      </w:r>
      <w:r w:rsidR="00886F99" w:rsidRPr="00886F99">
        <w:rPr>
          <w:b/>
          <w:sz w:val="22"/>
          <w:szCs w:val="22"/>
          <w:lang w:val="pt"/>
        </w:rPr>
        <w:t xml:space="preserve"> - </w:t>
      </w:r>
      <w:r w:rsidRPr="00886F99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886F99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3CBF4B1F" w14:textId="0A5F83FA" w:rsidR="009F4453" w:rsidRPr="00807F40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807F40">
        <w:rPr>
          <w:b/>
          <w:sz w:val="22"/>
          <w:szCs w:val="22"/>
        </w:rPr>
        <w:t>PROCESSO LICITATÓRIO Nº 0</w:t>
      </w:r>
      <w:r w:rsidR="00A70692">
        <w:rPr>
          <w:b/>
          <w:sz w:val="22"/>
          <w:szCs w:val="22"/>
        </w:rPr>
        <w:t>0</w:t>
      </w:r>
      <w:r w:rsidR="00EB6C62">
        <w:rPr>
          <w:b/>
          <w:sz w:val="22"/>
          <w:szCs w:val="22"/>
        </w:rPr>
        <w:t>5</w:t>
      </w:r>
      <w:r w:rsidRPr="00807F40">
        <w:rPr>
          <w:b/>
          <w:sz w:val="22"/>
          <w:szCs w:val="22"/>
        </w:rPr>
        <w:t>/202</w:t>
      </w:r>
      <w:r w:rsidR="00A70692">
        <w:rPr>
          <w:b/>
          <w:sz w:val="22"/>
          <w:szCs w:val="22"/>
        </w:rPr>
        <w:t>5</w:t>
      </w:r>
    </w:p>
    <w:p w14:paraId="11B1AEBE" w14:textId="56561A5B" w:rsidR="009F4453" w:rsidRPr="00F61118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807F40">
        <w:rPr>
          <w:b/>
          <w:sz w:val="22"/>
          <w:szCs w:val="22"/>
        </w:rPr>
        <w:t>PREGÃO ELETRONICO Nº 0</w:t>
      </w:r>
      <w:r w:rsidR="00A70692">
        <w:rPr>
          <w:b/>
          <w:sz w:val="22"/>
          <w:szCs w:val="22"/>
        </w:rPr>
        <w:t>0</w:t>
      </w:r>
      <w:r w:rsidR="00EB6C62">
        <w:rPr>
          <w:b/>
          <w:sz w:val="22"/>
          <w:szCs w:val="22"/>
        </w:rPr>
        <w:t>3</w:t>
      </w:r>
      <w:r w:rsidRPr="00807F40">
        <w:rPr>
          <w:b/>
          <w:sz w:val="22"/>
          <w:szCs w:val="22"/>
        </w:rPr>
        <w:t>/202</w:t>
      </w:r>
      <w:r w:rsidR="00A70692">
        <w:rPr>
          <w:b/>
          <w:sz w:val="22"/>
          <w:szCs w:val="22"/>
        </w:rPr>
        <w:t>5</w:t>
      </w:r>
    </w:p>
    <w:p w14:paraId="57BAAE42" w14:textId="77777777" w:rsidR="00D276E6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8C78D7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2287A98D" w:rsidR="00C33E85" w:rsidRPr="0087514C" w:rsidRDefault="00C33E85" w:rsidP="00DB1732">
      <w:pPr>
        <w:pStyle w:val="PargrafodaLista"/>
        <w:numPr>
          <w:ilvl w:val="1"/>
          <w:numId w:val="8"/>
        </w:numPr>
        <w:tabs>
          <w:tab w:val="left" w:pos="0"/>
          <w:tab w:val="left" w:pos="142"/>
        </w:tabs>
        <w:spacing w:line="360" w:lineRule="auto"/>
        <w:ind w:left="0" w:firstLine="0"/>
        <w:jc w:val="both"/>
        <w:rPr>
          <w:rFonts w:eastAsia="Calibri"/>
          <w:sz w:val="22"/>
          <w:szCs w:val="22"/>
        </w:rPr>
      </w:pPr>
      <w:r w:rsidRPr="00556255">
        <w:rPr>
          <w:bCs/>
          <w:sz w:val="22"/>
          <w:szCs w:val="22"/>
          <w:lang w:val="pt"/>
        </w:rPr>
        <w:t>Objeto:</w:t>
      </w:r>
      <w:r w:rsidRPr="00556255">
        <w:rPr>
          <w:sz w:val="22"/>
          <w:szCs w:val="22"/>
          <w:lang w:val="pt"/>
        </w:rPr>
        <w:t xml:space="preserve"> </w:t>
      </w:r>
      <w:bookmarkStart w:id="1" w:name="_Hlk188509680"/>
      <w:r w:rsidR="00EB6C62" w:rsidRPr="00EB6C62">
        <w:rPr>
          <w:rFonts w:eastAsia="Calibri"/>
          <w:bCs/>
          <w:sz w:val="22"/>
          <w:szCs w:val="22"/>
          <w:lang w:val="pt-BR"/>
        </w:rPr>
        <w:t>Aquisição de implementos agrícolas para o Município de Catuji/MG, conforme Convênio MDA nº 968780/2024 – </w:t>
      </w:r>
      <w:hyperlink r:id="rId9" w:tgtFrame="_blank" w:history="1">
        <w:r w:rsidR="00EB6C62" w:rsidRPr="00EB6C62">
          <w:rPr>
            <w:rStyle w:val="Hyperlink"/>
            <w:rFonts w:eastAsia="Calibri"/>
            <w:bCs/>
            <w:sz w:val="22"/>
            <w:szCs w:val="22"/>
            <w:lang w:val="pt-BR"/>
          </w:rPr>
          <w:t>transferegov.br</w:t>
        </w:r>
      </w:hyperlink>
      <w:r w:rsidR="00EB6C62" w:rsidRPr="00EB6C62">
        <w:rPr>
          <w:rFonts w:eastAsia="Calibri"/>
          <w:bCs/>
          <w:sz w:val="22"/>
          <w:szCs w:val="22"/>
          <w:lang w:val="pt-BR"/>
        </w:rPr>
        <w:t>, firmado entre o Ministério do Desenvolvimento Agrário e Agricultura Familiar e o Município de Catuji/MG</w:t>
      </w:r>
      <w:bookmarkEnd w:id="1"/>
      <w:r w:rsidR="00102A12" w:rsidRPr="00556255">
        <w:rPr>
          <w:rFonts w:eastAsia="Calibri"/>
          <w:sz w:val="22"/>
          <w:szCs w:val="22"/>
        </w:rPr>
        <w:t>, nos termos da tabela abaixo, conforme condições e exigências estabelecidas neste instrumento</w:t>
      </w:r>
      <w:r w:rsidR="009003C2" w:rsidRPr="00556255">
        <w:rPr>
          <w:bCs/>
          <w:sz w:val="22"/>
          <w:szCs w:val="22"/>
        </w:rPr>
        <w:t xml:space="preserve">, </w:t>
      </w:r>
      <w:r w:rsidRPr="00556255">
        <w:rPr>
          <w:sz w:val="22"/>
          <w:szCs w:val="22"/>
          <w:lang w:val="pt"/>
        </w:rPr>
        <w:t>CONFORME TERMO DE REFERÊNCIA E ANEXOS.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620"/>
        <w:gridCol w:w="5620"/>
        <w:gridCol w:w="754"/>
        <w:gridCol w:w="826"/>
        <w:gridCol w:w="1096"/>
        <w:gridCol w:w="939"/>
      </w:tblGrid>
      <w:tr w:rsidR="00EB6C62" w:rsidRPr="003959A2" w14:paraId="0A39B662" w14:textId="60CD347B" w:rsidTr="00EB6C62">
        <w:tc>
          <w:tcPr>
            <w:tcW w:w="620" w:type="dxa"/>
            <w:vAlign w:val="center"/>
          </w:tcPr>
          <w:p w14:paraId="3F744EC9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5620" w:type="dxa"/>
            <w:vAlign w:val="center"/>
          </w:tcPr>
          <w:p w14:paraId="6BFF4B09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754" w:type="dxa"/>
            <w:vAlign w:val="center"/>
          </w:tcPr>
          <w:p w14:paraId="3BEE8631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bCs/>
                <w:sz w:val="22"/>
                <w:szCs w:val="22"/>
              </w:rPr>
              <w:t>Quant</w:t>
            </w:r>
          </w:p>
        </w:tc>
        <w:tc>
          <w:tcPr>
            <w:tcW w:w="826" w:type="dxa"/>
            <w:vAlign w:val="center"/>
          </w:tcPr>
          <w:p w14:paraId="489ECB42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018AC"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096" w:type="dxa"/>
          </w:tcPr>
          <w:p w14:paraId="0EE88B6E" w14:textId="77777777" w:rsidR="00EB6C62" w:rsidRPr="003959A2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3959A2">
              <w:rPr>
                <w:bCs/>
                <w:sz w:val="22"/>
                <w:szCs w:val="22"/>
              </w:rPr>
              <w:t>Valor Unitário ($)</w:t>
            </w:r>
          </w:p>
        </w:tc>
        <w:tc>
          <w:tcPr>
            <w:tcW w:w="939" w:type="dxa"/>
          </w:tcPr>
          <w:p w14:paraId="6FACD809" w14:textId="77777777" w:rsidR="00EB6C62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Valor Total</w:t>
            </w:r>
          </w:p>
          <w:p w14:paraId="3B634A1F" w14:textId="7B230BC8" w:rsidR="00EB6C62" w:rsidRPr="003959A2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($)</w:t>
            </w:r>
          </w:p>
        </w:tc>
      </w:tr>
      <w:tr w:rsidR="00EB6C62" w:rsidRPr="003959A2" w14:paraId="3C875548" w14:textId="6B1F4F44" w:rsidTr="00EB6C62">
        <w:tc>
          <w:tcPr>
            <w:tcW w:w="620" w:type="dxa"/>
            <w:vAlign w:val="center"/>
          </w:tcPr>
          <w:p w14:paraId="631682A6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20" w:type="dxa"/>
          </w:tcPr>
          <w:p w14:paraId="719F0B38" w14:textId="77777777" w:rsidR="00EB6C62" w:rsidRPr="004018AC" w:rsidRDefault="00EB6C62" w:rsidP="003D23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18AC">
              <w:rPr>
                <w:color w:val="000000"/>
                <w:sz w:val="22"/>
                <w:szCs w:val="22"/>
              </w:rPr>
              <w:t>Colhedora de forragem</w:t>
            </w:r>
            <w:r w:rsidRPr="003959A2">
              <w:rPr>
                <w:color w:val="000000"/>
                <w:sz w:val="22"/>
                <w:szCs w:val="22"/>
              </w:rPr>
              <w:t xml:space="preserve"> – </w:t>
            </w:r>
            <w:r w:rsidRPr="003959A2">
              <w:rPr>
                <w:sz w:val="22"/>
                <w:szCs w:val="22"/>
              </w:rPr>
              <w:t>Potência da TDP (</w:t>
            </w:r>
            <w:proofErr w:type="spellStart"/>
            <w:r w:rsidRPr="003959A2">
              <w:rPr>
                <w:sz w:val="22"/>
                <w:szCs w:val="22"/>
              </w:rPr>
              <w:t>cv</w:t>
            </w:r>
            <w:proofErr w:type="spellEnd"/>
            <w:r w:rsidRPr="003959A2">
              <w:rPr>
                <w:sz w:val="22"/>
                <w:szCs w:val="22"/>
              </w:rPr>
              <w:t xml:space="preserve">) de 65 a 95, Produção até 35 </w:t>
            </w:r>
            <w:proofErr w:type="spellStart"/>
            <w:r w:rsidRPr="003959A2">
              <w:rPr>
                <w:sz w:val="22"/>
                <w:szCs w:val="22"/>
              </w:rPr>
              <w:t>ton</w:t>
            </w:r>
            <w:proofErr w:type="spellEnd"/>
            <w:r w:rsidRPr="003959A2">
              <w:rPr>
                <w:sz w:val="22"/>
                <w:szCs w:val="22"/>
              </w:rPr>
              <w:t xml:space="preserve">/h, Tamanho do picado 24 (2 a 36 mm), Número de facas / lançadores 12 / 6, Número de rotores 1, Sistema Quebra Grãos Sim de série, Sistema de corte Faca Serrilhada, Número de rolos 4, Transmissão </w:t>
            </w:r>
            <w:proofErr w:type="spellStart"/>
            <w:r w:rsidRPr="003959A2">
              <w:rPr>
                <w:sz w:val="22"/>
                <w:szCs w:val="22"/>
              </w:rPr>
              <w:t>Cardan</w:t>
            </w:r>
            <w:proofErr w:type="spellEnd"/>
            <w:r w:rsidRPr="003959A2">
              <w:rPr>
                <w:sz w:val="22"/>
                <w:szCs w:val="22"/>
              </w:rPr>
              <w:t xml:space="preserve">, Rotação na tomada de força 540 RPM, Engate de trator </w:t>
            </w:r>
            <w:proofErr w:type="spellStart"/>
            <w:r w:rsidRPr="003959A2">
              <w:rPr>
                <w:sz w:val="22"/>
                <w:szCs w:val="22"/>
              </w:rPr>
              <w:t>cat</w:t>
            </w:r>
            <w:proofErr w:type="spellEnd"/>
            <w:r w:rsidRPr="003959A2">
              <w:rPr>
                <w:sz w:val="22"/>
                <w:szCs w:val="22"/>
              </w:rPr>
              <w:t xml:space="preserve"> </w:t>
            </w:r>
            <w:proofErr w:type="spellStart"/>
            <w:r w:rsidRPr="003959A2">
              <w:rPr>
                <w:sz w:val="22"/>
                <w:szCs w:val="22"/>
              </w:rPr>
              <w:t>ll</w:t>
            </w:r>
            <w:proofErr w:type="spellEnd"/>
            <w:r w:rsidRPr="003959A2">
              <w:rPr>
                <w:sz w:val="22"/>
                <w:szCs w:val="22"/>
              </w:rPr>
              <w:t xml:space="preserve">, Acionamento do giro da bica Hidráulico, Sistema quebra jato Hidráulico, Roda de apoio Opcional, Peso aproximado 871 Kg, Espaçamento / nº de Linhas 45/70/ 80/. </w:t>
            </w:r>
          </w:p>
        </w:tc>
        <w:tc>
          <w:tcPr>
            <w:tcW w:w="754" w:type="dxa"/>
            <w:vAlign w:val="center"/>
          </w:tcPr>
          <w:p w14:paraId="7D7E5947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vAlign w:val="center"/>
          </w:tcPr>
          <w:p w14:paraId="7333F565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UNID</w:t>
            </w:r>
          </w:p>
        </w:tc>
        <w:tc>
          <w:tcPr>
            <w:tcW w:w="1096" w:type="dxa"/>
            <w:vAlign w:val="center"/>
          </w:tcPr>
          <w:p w14:paraId="2B5A2698" w14:textId="0A87EE1F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14:paraId="2B30D2E6" w14:textId="77777777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B6C62" w:rsidRPr="003959A2" w14:paraId="6231DBBA" w14:textId="0B178A50" w:rsidTr="00EB6C62">
        <w:tc>
          <w:tcPr>
            <w:tcW w:w="620" w:type="dxa"/>
            <w:vAlign w:val="center"/>
          </w:tcPr>
          <w:p w14:paraId="2EDF909C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20" w:type="dxa"/>
          </w:tcPr>
          <w:p w14:paraId="51BB8843" w14:textId="77777777" w:rsidR="00EB6C62" w:rsidRPr="004018AC" w:rsidRDefault="00EB6C62" w:rsidP="003D23A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 xml:space="preserve">Grade </w:t>
            </w:r>
            <w:proofErr w:type="spellStart"/>
            <w:r w:rsidRPr="004018AC">
              <w:rPr>
                <w:sz w:val="22"/>
                <w:szCs w:val="22"/>
              </w:rPr>
              <w:t>aradora</w:t>
            </w:r>
            <w:proofErr w:type="spellEnd"/>
            <w:r w:rsidRPr="004018AC">
              <w:rPr>
                <w:sz w:val="22"/>
                <w:szCs w:val="22"/>
              </w:rPr>
              <w:t xml:space="preserve"> controle remoto de 14*26 discos</w:t>
            </w:r>
            <w:r w:rsidRPr="003959A2">
              <w:rPr>
                <w:sz w:val="22"/>
                <w:szCs w:val="22"/>
              </w:rPr>
              <w:t xml:space="preserve"> </w:t>
            </w:r>
            <w:r w:rsidRPr="003959A2">
              <w:rPr>
                <w:color w:val="000000"/>
                <w:sz w:val="22"/>
                <w:szCs w:val="22"/>
              </w:rPr>
              <w:t xml:space="preserve">– </w:t>
            </w:r>
            <w:r w:rsidRPr="003959A2">
              <w:rPr>
                <w:sz w:val="22"/>
                <w:szCs w:val="22"/>
              </w:rPr>
              <w:t xml:space="preserve">Diâmetros dos Discos - 24” - 26” - 28'', Largura de Trabalho – 1550, Peso Aproximado kg – 1331, Potência do Trator – 74-80. </w:t>
            </w:r>
          </w:p>
        </w:tc>
        <w:tc>
          <w:tcPr>
            <w:tcW w:w="754" w:type="dxa"/>
            <w:vAlign w:val="center"/>
          </w:tcPr>
          <w:p w14:paraId="22675925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vAlign w:val="center"/>
          </w:tcPr>
          <w:p w14:paraId="71D39C02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UNID</w:t>
            </w:r>
          </w:p>
        </w:tc>
        <w:tc>
          <w:tcPr>
            <w:tcW w:w="1096" w:type="dxa"/>
            <w:vAlign w:val="center"/>
          </w:tcPr>
          <w:p w14:paraId="5E14E213" w14:textId="1BC6D57C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14:paraId="2121E0DA" w14:textId="77777777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B6C62" w:rsidRPr="003959A2" w14:paraId="27F685B2" w14:textId="2BBBD11B" w:rsidTr="00EB6C62">
        <w:tc>
          <w:tcPr>
            <w:tcW w:w="620" w:type="dxa"/>
            <w:vAlign w:val="center"/>
          </w:tcPr>
          <w:p w14:paraId="2DC74CD5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20" w:type="dxa"/>
          </w:tcPr>
          <w:p w14:paraId="51DB4E2F" w14:textId="77777777" w:rsidR="00EB6C62" w:rsidRPr="004018AC" w:rsidRDefault="00EB6C62" w:rsidP="003D23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Sulcador pesado de 1 linha</w:t>
            </w:r>
            <w:r w:rsidRPr="003959A2">
              <w:rPr>
                <w:sz w:val="22"/>
                <w:szCs w:val="22"/>
              </w:rPr>
              <w:t xml:space="preserve"> - Contribui para a abertura de sulcos. Possui chassi de estrutura tubular de alta resistência onde pode ser acoplado de 1 a 3 linhas. Altura da Haste (mm) – 500 Abertura das Hastes (mm) - 520 / 820. </w:t>
            </w:r>
          </w:p>
        </w:tc>
        <w:tc>
          <w:tcPr>
            <w:tcW w:w="754" w:type="dxa"/>
            <w:vAlign w:val="center"/>
          </w:tcPr>
          <w:p w14:paraId="655353DD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01</w:t>
            </w:r>
          </w:p>
        </w:tc>
        <w:tc>
          <w:tcPr>
            <w:tcW w:w="826" w:type="dxa"/>
            <w:vAlign w:val="center"/>
          </w:tcPr>
          <w:p w14:paraId="48C5299D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UNID</w:t>
            </w:r>
          </w:p>
        </w:tc>
        <w:tc>
          <w:tcPr>
            <w:tcW w:w="1096" w:type="dxa"/>
            <w:vAlign w:val="center"/>
          </w:tcPr>
          <w:p w14:paraId="4EDA4E31" w14:textId="35F8AEB2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14:paraId="5F51BE57" w14:textId="77777777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B6C62" w:rsidRPr="003959A2" w14:paraId="65C0D72D" w14:textId="5DFFFF06" w:rsidTr="00EB6C62">
        <w:tc>
          <w:tcPr>
            <w:tcW w:w="620" w:type="dxa"/>
            <w:vAlign w:val="center"/>
          </w:tcPr>
          <w:p w14:paraId="3773B39D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20" w:type="dxa"/>
          </w:tcPr>
          <w:p w14:paraId="6CBE5F7B" w14:textId="77777777" w:rsidR="00EB6C62" w:rsidRPr="004018AC" w:rsidRDefault="00EB6C62" w:rsidP="003D23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Grade niveladora de arrasto de 28 discos</w:t>
            </w:r>
            <w:r w:rsidRPr="003959A2">
              <w:rPr>
                <w:sz w:val="22"/>
                <w:szCs w:val="22"/>
              </w:rPr>
              <w:t xml:space="preserve"> - Profundidade de Trabalho (mm) - 50 – 150, Diâmetro do Eixo (ø) - 1.1/4", </w:t>
            </w:r>
            <w:r w:rsidRPr="003959A2">
              <w:rPr>
                <w:sz w:val="22"/>
                <w:szCs w:val="22"/>
              </w:rPr>
              <w:lastRenderedPageBreak/>
              <w:t xml:space="preserve">Diâmetro dos Discos (ø) - 18" - 20" - 22". </w:t>
            </w:r>
          </w:p>
        </w:tc>
        <w:tc>
          <w:tcPr>
            <w:tcW w:w="754" w:type="dxa"/>
            <w:vAlign w:val="center"/>
          </w:tcPr>
          <w:p w14:paraId="5E61DC88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26" w:type="dxa"/>
            <w:vAlign w:val="center"/>
          </w:tcPr>
          <w:p w14:paraId="6B562824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UNID</w:t>
            </w:r>
          </w:p>
        </w:tc>
        <w:tc>
          <w:tcPr>
            <w:tcW w:w="1096" w:type="dxa"/>
            <w:vAlign w:val="center"/>
          </w:tcPr>
          <w:p w14:paraId="634EEC01" w14:textId="2052A26E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14:paraId="40E766D7" w14:textId="77777777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B6C62" w:rsidRPr="003959A2" w14:paraId="00C1E0EF" w14:textId="086121E5" w:rsidTr="00EB6C62">
        <w:tc>
          <w:tcPr>
            <w:tcW w:w="620" w:type="dxa"/>
            <w:vAlign w:val="center"/>
          </w:tcPr>
          <w:p w14:paraId="320BBA02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5620" w:type="dxa"/>
          </w:tcPr>
          <w:p w14:paraId="06EB9E58" w14:textId="77777777" w:rsidR="00EB6C62" w:rsidRPr="004018AC" w:rsidRDefault="00EB6C62" w:rsidP="003D23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Carretas agrícolas basculantes hidráulicas de 5000 KG</w:t>
            </w:r>
            <w:r w:rsidRPr="003959A2">
              <w:rPr>
                <w:sz w:val="22"/>
                <w:szCs w:val="22"/>
              </w:rPr>
              <w:t xml:space="preserve">- Dimensões da Caçamba: 2,96 x 1,80 x 1,04 m, Dimensões do Conjunto: 4,20 x 2,05 mm, Dimensões dos Pneus: 750 x 16, Capacidade de Carga: 5.000 Kg, Peso com Pneus: 895 Kg, Sistema Basculante: Hidráulico. </w:t>
            </w:r>
          </w:p>
        </w:tc>
        <w:tc>
          <w:tcPr>
            <w:tcW w:w="754" w:type="dxa"/>
            <w:vAlign w:val="center"/>
          </w:tcPr>
          <w:p w14:paraId="1826519D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02</w:t>
            </w:r>
          </w:p>
        </w:tc>
        <w:tc>
          <w:tcPr>
            <w:tcW w:w="826" w:type="dxa"/>
            <w:vAlign w:val="center"/>
          </w:tcPr>
          <w:p w14:paraId="1115BDFE" w14:textId="77777777" w:rsidR="00EB6C62" w:rsidRPr="004018AC" w:rsidRDefault="00EB6C62" w:rsidP="003D23A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18AC">
              <w:rPr>
                <w:sz w:val="22"/>
                <w:szCs w:val="22"/>
              </w:rPr>
              <w:t>UNID</w:t>
            </w:r>
          </w:p>
        </w:tc>
        <w:tc>
          <w:tcPr>
            <w:tcW w:w="1096" w:type="dxa"/>
            <w:vAlign w:val="center"/>
          </w:tcPr>
          <w:p w14:paraId="0A267778" w14:textId="1D2E1F8B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14:paraId="115E153A" w14:textId="77777777" w:rsidR="00EB6C62" w:rsidRPr="003959A2" w:rsidRDefault="00EB6C62" w:rsidP="003D23A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57B986A" w14:textId="77777777" w:rsidR="0087514C" w:rsidRPr="00556255" w:rsidRDefault="0087514C" w:rsidP="0087514C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rFonts w:eastAsia="Calibri"/>
          <w:sz w:val="22"/>
          <w:szCs w:val="22"/>
        </w:rPr>
      </w:pPr>
    </w:p>
    <w:p w14:paraId="2C2E4FE2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8C78D7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8C78D7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8C78D7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8C78D7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59D64E90" w:rsidR="00E80EC8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8C78D7">
        <w:rPr>
          <w:sz w:val="22"/>
          <w:szCs w:val="22"/>
          <w:lang w:val="pt"/>
        </w:rPr>
        <w:t>de</w:t>
      </w:r>
      <w:proofErr w:type="spellEnd"/>
      <w:r w:rsidRPr="008C78D7">
        <w:rPr>
          <w:sz w:val="22"/>
          <w:szCs w:val="22"/>
          <w:lang w:val="pt"/>
        </w:rPr>
        <w:t xml:space="preserve"> 202</w:t>
      </w:r>
      <w:r w:rsidR="00E90D52">
        <w:rPr>
          <w:sz w:val="22"/>
          <w:szCs w:val="22"/>
          <w:lang w:val="pt"/>
        </w:rPr>
        <w:t>5</w:t>
      </w:r>
      <w:r w:rsidRPr="008C78D7">
        <w:rPr>
          <w:sz w:val="22"/>
          <w:szCs w:val="22"/>
          <w:lang w:val="pt"/>
        </w:rPr>
        <w:t>.</w:t>
      </w:r>
    </w:p>
    <w:p w14:paraId="2A3960FA" w14:textId="77777777" w:rsidR="00F10481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8C78D7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A2559C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A2559C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A2559C" w:rsidSect="00886F99">
      <w:headerReference w:type="default" r:id="rId10"/>
      <w:footerReference w:type="default" r:id="rId11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077F1" w14:textId="77777777" w:rsidR="00566ED5" w:rsidRDefault="00566ED5">
      <w:r>
        <w:separator/>
      </w:r>
    </w:p>
  </w:endnote>
  <w:endnote w:type="continuationSeparator" w:id="0">
    <w:p w14:paraId="674ED19B" w14:textId="77777777" w:rsidR="00566ED5" w:rsidRDefault="0056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2D1BD" w14:textId="373773C3" w:rsidR="00EF0E22" w:rsidRDefault="00886F99">
    <w:pPr>
      <w:pStyle w:val="Rodap"/>
    </w:pPr>
    <w:r>
      <w:rPr>
        <w:noProof/>
      </w:rPr>
      <w:drawing>
        <wp:inline distT="0" distB="0" distL="0" distR="0" wp14:anchorId="6560BF9A" wp14:editId="4BA366E3">
          <wp:extent cx="5759450" cy="65965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3ED4E" w14:textId="77777777" w:rsidR="00566ED5" w:rsidRDefault="00566ED5">
      <w:r>
        <w:separator/>
      </w:r>
    </w:p>
  </w:footnote>
  <w:footnote w:type="continuationSeparator" w:id="0">
    <w:p w14:paraId="2537042D" w14:textId="77777777" w:rsidR="00566ED5" w:rsidRDefault="00566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C5B67" w14:textId="60570E55" w:rsidR="00886F99" w:rsidRDefault="00886F99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6CDC1ED" wp14:editId="1E955BEB">
          <wp:extent cx="5759450" cy="722994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327ABD"/>
    <w:multiLevelType w:val="hybridMultilevel"/>
    <w:tmpl w:val="ECDC6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231E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177B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37E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2103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66ED5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15C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48C3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0294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07F4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542"/>
    <w:rsid w:val="00857768"/>
    <w:rsid w:val="0086023E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1B9C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0692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4CA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0D52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B6C62"/>
    <w:rsid w:val="00EC0422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26AD5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6A3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4647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C68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D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ransferegov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E177-972B-432F-8AC3-EF4464DB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2570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creator>Windows 98</dc:creator>
  <cp:lastModifiedBy>Stefany</cp:lastModifiedBy>
  <cp:revision>2</cp:revision>
  <cp:lastPrinted>2024-07-02T16:13:00Z</cp:lastPrinted>
  <dcterms:created xsi:type="dcterms:W3CDTF">2025-01-29T17:28:00Z</dcterms:created>
  <dcterms:modified xsi:type="dcterms:W3CDTF">2025-01-29T17:28:00Z</dcterms:modified>
</cp:coreProperties>
</file>